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D0" w:rsidRPr="004D206E" w:rsidRDefault="001646D0" w:rsidP="001646D0">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B65FC6">
        <w:rPr>
          <w:rFonts w:ascii="Arial" w:hAnsi="Arial" w:cs="Arial"/>
          <w:b/>
          <w:bCs/>
          <w:color w:val="000000"/>
          <w:sz w:val="24"/>
        </w:rPr>
        <w:t>100</w:t>
      </w:r>
      <w:r w:rsidR="00CE668C">
        <w:rPr>
          <w:rFonts w:ascii="Arial" w:hAnsi="Arial" w:cs="Arial"/>
          <w:b/>
          <w:bCs/>
          <w:color w:val="000000"/>
          <w:sz w:val="24"/>
        </w:rPr>
        <w:t>-e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00CF2238">
        <w:rPr>
          <w:rFonts w:ascii="Arial" w:hAnsi="Arial" w:cs="Arial"/>
          <w:b/>
          <w:sz w:val="22"/>
        </w:rPr>
        <w:tab/>
      </w:r>
      <w:r w:rsidRPr="004D206E">
        <w:rPr>
          <w:rFonts w:ascii="Arial" w:hAnsi="Arial" w:cs="Arial"/>
          <w:b/>
          <w:sz w:val="24"/>
        </w:rPr>
        <w:t>R4-</w:t>
      </w:r>
      <w:r w:rsidR="00C34575">
        <w:rPr>
          <w:rFonts w:ascii="Arial" w:hAnsi="Arial" w:cs="Arial" w:hint="eastAsia"/>
          <w:b/>
          <w:sz w:val="24"/>
        </w:rPr>
        <w:t>2</w:t>
      </w:r>
      <w:r w:rsidR="00C34575">
        <w:rPr>
          <w:rFonts w:ascii="Arial" w:hAnsi="Arial" w:cs="Arial"/>
          <w:b/>
          <w:sz w:val="24"/>
        </w:rPr>
        <w:t>1</w:t>
      </w:r>
      <w:r w:rsidR="00665DD4">
        <w:rPr>
          <w:rFonts w:ascii="Arial" w:hAnsi="Arial" w:cs="Arial"/>
          <w:b/>
          <w:sz w:val="24"/>
        </w:rPr>
        <w:t>12843</w:t>
      </w:r>
    </w:p>
    <w:p w:rsidR="00140B15" w:rsidRPr="004D206E" w:rsidRDefault="009D4724" w:rsidP="001646D0">
      <w:pPr>
        <w:rPr>
          <w:rFonts w:ascii="Arial" w:hAnsi="Arial" w:cs="Arial"/>
          <w:b/>
          <w:bCs/>
          <w:color w:val="000000"/>
          <w:sz w:val="24"/>
        </w:rPr>
      </w:pPr>
      <w:r>
        <w:rPr>
          <w:rFonts w:ascii="Arial" w:hAnsi="Arial"/>
          <w:b/>
          <w:sz w:val="24"/>
          <w:szCs w:val="20"/>
          <w:lang w:eastAsia="ja-JP"/>
        </w:rPr>
        <w:t xml:space="preserve">Electronic Meeting, </w:t>
      </w:r>
      <w:r w:rsidR="00C74C08">
        <w:rPr>
          <w:rFonts w:ascii="Arial" w:hAnsi="Arial"/>
          <w:b/>
          <w:sz w:val="24"/>
          <w:szCs w:val="20"/>
          <w:lang w:eastAsia="ja-JP"/>
        </w:rPr>
        <w:t>1</w:t>
      </w:r>
      <w:r w:rsidR="00B65FC6">
        <w:rPr>
          <w:rFonts w:ascii="Arial" w:hAnsi="Arial"/>
          <w:b/>
          <w:sz w:val="24"/>
          <w:szCs w:val="20"/>
          <w:lang w:eastAsia="ja-JP"/>
        </w:rPr>
        <w:t>6</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CE668C">
        <w:rPr>
          <w:rFonts w:ascii="Arial" w:hAnsi="Arial"/>
          <w:b/>
          <w:sz w:val="24"/>
          <w:szCs w:val="20"/>
          <w:lang w:eastAsia="ja-JP"/>
        </w:rPr>
        <w:t xml:space="preserve">– </w:t>
      </w:r>
      <w:r w:rsidR="00C74C08">
        <w:rPr>
          <w:rFonts w:ascii="Arial" w:hAnsi="Arial"/>
          <w:b/>
          <w:sz w:val="24"/>
          <w:szCs w:val="20"/>
          <w:lang w:eastAsia="ja-JP"/>
        </w:rPr>
        <w:t>2</w:t>
      </w:r>
      <w:r w:rsidR="00182346">
        <w:rPr>
          <w:rFonts w:ascii="Arial" w:hAnsi="Arial"/>
          <w:b/>
          <w:sz w:val="24"/>
          <w:szCs w:val="20"/>
          <w:lang w:eastAsia="ja-JP"/>
        </w:rPr>
        <w:t>7</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B65FC6">
        <w:rPr>
          <w:rFonts w:ascii="Arial" w:hAnsi="Arial"/>
          <w:b/>
          <w:sz w:val="24"/>
          <w:szCs w:val="20"/>
          <w:lang w:eastAsia="ja-JP"/>
        </w:rPr>
        <w:t>August</w:t>
      </w:r>
      <w:r w:rsidR="00C74C08">
        <w:rPr>
          <w:rFonts w:ascii="Arial" w:hAnsi="Arial"/>
          <w:b/>
          <w:sz w:val="24"/>
          <w:szCs w:val="20"/>
          <w:lang w:eastAsia="ja-JP"/>
        </w:rPr>
        <w:t>,</w:t>
      </w:r>
      <w:r>
        <w:rPr>
          <w:rFonts w:ascii="Arial" w:hAnsi="Arial" w:cs="Arial"/>
          <w:b/>
          <w:bCs/>
          <w:color w:val="000000"/>
          <w:sz w:val="24"/>
        </w:rPr>
        <w:t xml:space="preserve"> 2021</w:t>
      </w: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665DD4">
        <w:rPr>
          <w:rFonts w:ascii="Arial" w:hAnsi="Arial" w:cs="Arial"/>
          <w:b/>
          <w:bCs/>
          <w:color w:val="000000"/>
          <w:sz w:val="20"/>
          <w:szCs w:val="20"/>
          <w:lang w:val="en-US" w:eastAsia="zh-CN"/>
        </w:rPr>
        <w:t>6.1</w:t>
      </w:r>
      <w:r w:rsidR="009D4724">
        <w:rPr>
          <w:rFonts w:ascii="Arial" w:hAnsi="Arial" w:cs="Arial"/>
          <w:b/>
          <w:bCs/>
          <w:color w:val="000000"/>
          <w:sz w:val="20"/>
          <w:szCs w:val="20"/>
          <w:lang w:val="en-US" w:eastAsia="zh-CN"/>
        </w:rPr>
        <w:t>.</w:t>
      </w:r>
      <w:r w:rsidR="00665DD4">
        <w:rPr>
          <w:rFonts w:ascii="Arial" w:hAnsi="Arial" w:cs="Arial"/>
          <w:b/>
          <w:bCs/>
          <w:color w:val="000000"/>
          <w:sz w:val="20"/>
          <w:szCs w:val="20"/>
          <w:lang w:val="en-US" w:eastAsia="zh-CN"/>
        </w:rPr>
        <w:t>3.</w:t>
      </w:r>
      <w:r w:rsidR="00DE4BFE">
        <w:rPr>
          <w:rFonts w:ascii="Arial" w:eastAsia="바탕" w:hAnsi="Arial" w:cs="Arial"/>
          <w:b/>
          <w:bCs/>
          <w:color w:val="000000"/>
          <w:sz w:val="20"/>
          <w:szCs w:val="20"/>
          <w:lang w:val="en-US" w:eastAsia="ko-KR"/>
        </w:rPr>
        <w:t>1</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bookmarkStart w:id="0" w:name="_GoBack"/>
      <w:bookmarkEnd w:id="0"/>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DE4BFE">
        <w:rPr>
          <w:rFonts w:ascii="Arial" w:hAnsi="Arial" w:cs="Arial"/>
          <w:b/>
          <w:bCs/>
          <w:color w:val="000000"/>
          <w:sz w:val="20"/>
          <w:szCs w:val="20"/>
          <w:lang w:val="en-US" w:eastAsia="zh-CN"/>
        </w:rPr>
        <w:t xml:space="preserve">Consideration on </w:t>
      </w:r>
      <w:r w:rsidR="00281A00">
        <w:rPr>
          <w:rFonts w:ascii="Arial" w:hAnsi="Arial" w:cs="Arial"/>
          <w:b/>
          <w:bCs/>
          <w:color w:val="000000"/>
          <w:sz w:val="20"/>
          <w:szCs w:val="20"/>
          <w:lang w:val="en-US" w:eastAsia="zh-CN"/>
        </w:rPr>
        <w:t>A-SEM requirements</w:t>
      </w:r>
      <w:r w:rsidR="00F65AB2">
        <w:rPr>
          <w:rFonts w:ascii="Arial" w:hAnsi="Arial" w:cs="Arial"/>
          <w:b/>
          <w:bCs/>
          <w:color w:val="000000"/>
          <w:sz w:val="20"/>
          <w:szCs w:val="20"/>
          <w:lang w:val="en-US" w:eastAsia="zh-CN"/>
        </w:rPr>
        <w:t xml:space="preserve"> by</w:t>
      </w:r>
      <w:r w:rsidR="000D1E95">
        <w:rPr>
          <w:rFonts w:ascii="Arial" w:hAnsi="Arial" w:cs="Arial"/>
          <w:b/>
          <w:bCs/>
          <w:color w:val="000000"/>
          <w:sz w:val="20"/>
          <w:szCs w:val="20"/>
          <w:lang w:val="en-US" w:eastAsia="zh-CN"/>
        </w:rPr>
        <w:t xml:space="preserve"> NS_52 </w:t>
      </w:r>
      <w:r w:rsidR="000D1E95">
        <w:rPr>
          <w:rFonts w:ascii="Arial" w:eastAsia="맑은 고딕" w:hAnsi="Arial" w:cs="Arial"/>
          <w:b/>
          <w:bCs/>
          <w:color w:val="000000"/>
          <w:sz w:val="20"/>
          <w:szCs w:val="20"/>
          <w:lang w:val="en-US" w:eastAsia="ko-KR"/>
        </w:rPr>
        <w:t>based on FCC regulation</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바탕" w:hAnsi="Arial" w:cs="Arial"/>
          <w:b/>
          <w:bCs/>
          <w:color w:val="000000"/>
          <w:sz w:val="20"/>
          <w:szCs w:val="20"/>
          <w:lang w:val="en-US" w:eastAsia="ko-KR"/>
        </w:rPr>
        <w:t>Approval</w:t>
      </w:r>
    </w:p>
    <w:p w:rsidR="008D6223" w:rsidRPr="00F65397" w:rsidRDefault="008D6223" w:rsidP="00646B20">
      <w:pPr>
        <w:pStyle w:val="1"/>
        <w:numPr>
          <w:ilvl w:val="0"/>
          <w:numId w:val="4"/>
        </w:numPr>
        <w:spacing w:before="240"/>
        <w:ind w:left="823"/>
        <w:rPr>
          <w:rFonts w:eastAsia="맑은 고딕"/>
          <w:lang w:val="en-US" w:eastAsia="ko-KR"/>
        </w:rPr>
      </w:pPr>
      <w:bookmarkStart w:id="1" w:name="_Ref124589665"/>
      <w:bookmarkStart w:id="2" w:name="_Ref71620620"/>
      <w:bookmarkStart w:id="3" w:name="_Ref124671424"/>
      <w:r w:rsidRPr="00F65397">
        <w:rPr>
          <w:rFonts w:eastAsia="맑은 고딕" w:hint="eastAsia"/>
          <w:lang w:val="en-US" w:eastAsia="ko-KR"/>
        </w:rPr>
        <w:t>Introduction</w:t>
      </w:r>
    </w:p>
    <w:p w:rsidR="009D4724"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DE4BFE">
        <w:rPr>
          <w:rFonts w:eastAsia="바탕" w:hint="eastAsia"/>
          <w:lang w:eastAsia="ko-KR"/>
        </w:rPr>
        <w:t>99</w:t>
      </w:r>
      <w:r w:rsidR="00CE668C">
        <w:rPr>
          <w:rFonts w:eastAsia="바탕" w:hint="eastAsia"/>
          <w:lang w:eastAsia="ko-KR"/>
        </w:rPr>
        <w:t xml:space="preserve">-e </w:t>
      </w:r>
      <w:r w:rsidRPr="00085363">
        <w:rPr>
          <w:rFonts w:eastAsia="바탕" w:hint="eastAsia"/>
          <w:lang w:eastAsia="ko-KR"/>
        </w:rPr>
        <w:t>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E1946">
        <w:rPr>
          <w:rFonts w:eastAsia="바탕" w:hint="eastAsia"/>
          <w:lang w:eastAsia="ko-KR"/>
        </w:rPr>
        <w:t>4</w:t>
      </w:r>
      <w:r w:rsidR="00A12D05">
        <w:rPr>
          <w:rFonts w:eastAsia="바탕"/>
          <w:lang w:eastAsia="ko-KR"/>
        </w:rPr>
        <w:t xml:space="preserve"> </w:t>
      </w:r>
      <w:r w:rsidR="00DE4BFE">
        <w:rPr>
          <w:rFonts w:eastAsia="바탕"/>
          <w:lang w:eastAsia="ko-KR"/>
        </w:rPr>
        <w:t xml:space="preserve">discussed the </w:t>
      </w:r>
      <w:r w:rsidR="00E750B0">
        <w:rPr>
          <w:rFonts w:eastAsia="바탕"/>
          <w:lang w:eastAsia="ko-KR"/>
        </w:rPr>
        <w:t xml:space="preserve">A-MPR revision due to FCC do not allow maximum 40MHz CBW operation in ITS </w:t>
      </w:r>
      <w:r w:rsidR="00C009A0">
        <w:rPr>
          <w:rFonts w:eastAsia="바탕"/>
          <w:lang w:eastAsia="ko-KR"/>
        </w:rPr>
        <w:t>spectrum (</w:t>
      </w:r>
      <w:r w:rsidR="00E750B0">
        <w:rPr>
          <w:rFonts w:eastAsia="바탕"/>
          <w:lang w:eastAsia="ko-KR"/>
        </w:rPr>
        <w:t>n47).</w:t>
      </w:r>
    </w:p>
    <w:p w:rsidR="00C009A0" w:rsidRPr="00CD572D" w:rsidRDefault="00C74C08" w:rsidP="00C009A0">
      <w:pPr>
        <w:rPr>
          <w:rFonts w:eastAsia="바탕"/>
          <w:lang w:val="en-US" w:eastAsia="ko-KR"/>
        </w:rPr>
      </w:pPr>
      <w:r>
        <w:rPr>
          <w:rFonts w:eastAsia="바탕"/>
          <w:lang w:eastAsia="ko-KR"/>
        </w:rPr>
        <w:t xml:space="preserve">In </w:t>
      </w:r>
      <w:r w:rsidR="00C009A0">
        <w:rPr>
          <w:rFonts w:eastAsia="바탕"/>
          <w:lang w:eastAsia="ko-KR"/>
        </w:rPr>
        <w:t>summary paper</w:t>
      </w:r>
      <w:r>
        <w:rPr>
          <w:rFonts w:eastAsia="바탕"/>
          <w:lang w:eastAsia="ko-KR"/>
        </w:rPr>
        <w:t xml:space="preserve">, RAN4 </w:t>
      </w:r>
      <w:r w:rsidR="00C009A0">
        <w:rPr>
          <w:rFonts w:eastAsia="바탕"/>
          <w:lang w:eastAsia="ko-KR"/>
        </w:rPr>
        <w:t xml:space="preserve">make consensus as follow </w:t>
      </w:r>
    </w:p>
    <w:p w:rsidR="00C009A0" w:rsidRPr="00A613E9" w:rsidRDefault="00C009A0" w:rsidP="00C009A0">
      <w:pPr>
        <w:ind w:leftChars="100" w:left="220"/>
        <w:rPr>
          <w:b/>
          <w:sz w:val="20"/>
          <w:szCs w:val="20"/>
          <w:u w:val="single"/>
        </w:rPr>
      </w:pPr>
      <w:r w:rsidRPr="00A613E9">
        <w:rPr>
          <w:b/>
          <w:sz w:val="20"/>
          <w:szCs w:val="20"/>
          <w:u w:val="single"/>
        </w:rPr>
        <w:t>Issue 1-2-</w:t>
      </w:r>
      <w:r>
        <w:rPr>
          <w:b/>
          <w:sz w:val="20"/>
          <w:szCs w:val="20"/>
          <w:u w:val="single"/>
        </w:rPr>
        <w:t>2</w:t>
      </w:r>
      <w:r w:rsidRPr="00A613E9">
        <w:rPr>
          <w:b/>
          <w:sz w:val="20"/>
          <w:szCs w:val="20"/>
          <w:u w:val="single"/>
        </w:rPr>
        <w:t xml:space="preserve">: </w:t>
      </w:r>
      <w:r>
        <w:rPr>
          <w:b/>
          <w:i/>
          <w:sz w:val="20"/>
          <w:szCs w:val="20"/>
          <w:lang w:eastAsia="zh-CN"/>
        </w:rPr>
        <w:t>V</w:t>
      </w:r>
      <w:r w:rsidRPr="00034FB2">
        <w:rPr>
          <w:b/>
          <w:i/>
          <w:sz w:val="20"/>
          <w:szCs w:val="20"/>
          <w:lang w:eastAsia="zh-CN"/>
        </w:rPr>
        <w:t>erification of FCC regulation</w:t>
      </w:r>
    </w:p>
    <w:p w:rsidR="00C009A0" w:rsidRPr="007A1043" w:rsidRDefault="00C009A0" w:rsidP="00C009A0">
      <w:pPr>
        <w:ind w:leftChars="100" w:left="220"/>
        <w:rPr>
          <w:b/>
          <w:i/>
          <w:sz w:val="20"/>
          <w:szCs w:val="20"/>
          <w:lang w:eastAsia="zh-CN"/>
        </w:rPr>
      </w:pPr>
      <w:r w:rsidRPr="007A1043">
        <w:rPr>
          <w:b/>
          <w:i/>
          <w:sz w:val="20"/>
          <w:szCs w:val="20"/>
          <w:lang w:eastAsia="zh-CN"/>
        </w:rPr>
        <w:t>In 1</w:t>
      </w:r>
      <w:r w:rsidRPr="007A1043">
        <w:rPr>
          <w:b/>
          <w:i/>
          <w:sz w:val="20"/>
          <w:szCs w:val="20"/>
          <w:vertAlign w:val="superscript"/>
          <w:lang w:eastAsia="zh-CN"/>
        </w:rPr>
        <w:t>st</w:t>
      </w:r>
      <w:r>
        <w:rPr>
          <w:b/>
          <w:i/>
          <w:sz w:val="20"/>
          <w:szCs w:val="20"/>
          <w:lang w:eastAsia="zh-CN"/>
        </w:rPr>
        <w:t xml:space="preserve"> </w:t>
      </w:r>
      <w:r w:rsidRPr="007A1043">
        <w:rPr>
          <w:b/>
          <w:i/>
          <w:sz w:val="20"/>
          <w:szCs w:val="20"/>
          <w:lang w:eastAsia="zh-CN"/>
        </w:rPr>
        <w:t>round, two companies prefer further discussion on the 90.381 FCC regulation for C-V2X emission limits</w:t>
      </w:r>
      <w:r w:rsidRPr="0093310F">
        <w:rPr>
          <w:b/>
          <w:i/>
          <w:sz w:val="20"/>
          <w:szCs w:val="20"/>
          <w:lang w:eastAsia="zh-CN"/>
        </w:rPr>
        <w:t>.</w:t>
      </w:r>
      <w:r>
        <w:rPr>
          <w:b/>
          <w:i/>
          <w:sz w:val="20"/>
          <w:szCs w:val="20"/>
          <w:lang w:eastAsia="zh-CN"/>
        </w:rPr>
        <w:t xml:space="preserve"> And one company propose update A-MPR requirements based on the latest FCC regulation. So RAN4 still need further discussion with following Tentative agreements in next RAN4 meeting.</w:t>
      </w:r>
    </w:p>
    <w:p w:rsidR="00C009A0" w:rsidRDefault="00C009A0" w:rsidP="00C009A0">
      <w:pPr>
        <w:ind w:leftChars="100" w:left="220"/>
        <w:rPr>
          <w:rFonts w:eastAsiaTheme="minorEastAsia"/>
          <w:i/>
          <w:color w:val="0070C0"/>
          <w:sz w:val="20"/>
          <w:lang w:eastAsia="zh-CN"/>
        </w:rPr>
      </w:pPr>
      <w:r>
        <w:rPr>
          <w:rFonts w:eastAsiaTheme="minorEastAsia"/>
          <w:i/>
          <w:color w:val="0070C0"/>
          <w:sz w:val="20"/>
          <w:lang w:eastAsia="zh-CN"/>
        </w:rPr>
        <w:t>Tentative agreements</w:t>
      </w:r>
      <w:r w:rsidRPr="00FD266C">
        <w:rPr>
          <w:rFonts w:eastAsiaTheme="minorEastAsia" w:hint="eastAsia"/>
          <w:i/>
          <w:color w:val="0070C0"/>
          <w:sz w:val="20"/>
          <w:lang w:eastAsia="zh-CN"/>
        </w:rPr>
        <w:t>:</w:t>
      </w:r>
    </w:p>
    <w:p w:rsidR="00C009A0" w:rsidRDefault="00C009A0" w:rsidP="00C009A0">
      <w:pPr>
        <w:pStyle w:val="afa"/>
        <w:widowControl/>
        <w:numPr>
          <w:ilvl w:val="0"/>
          <w:numId w:val="6"/>
        </w:numPr>
        <w:tabs>
          <w:tab w:val="clear" w:pos="720"/>
          <w:tab w:val="num" w:pos="940"/>
        </w:tabs>
        <w:autoSpaceDE/>
        <w:autoSpaceDN/>
        <w:adjustRightInd/>
        <w:ind w:leftChars="264" w:left="941"/>
        <w:jc w:val="left"/>
        <w:rPr>
          <w:szCs w:val="24"/>
          <w:highlight w:val="green"/>
          <w:lang w:eastAsia="zh-CN"/>
        </w:rPr>
      </w:pPr>
      <w:r w:rsidRPr="007A1043">
        <w:rPr>
          <w:szCs w:val="24"/>
          <w:highlight w:val="green"/>
          <w:lang w:eastAsia="zh-CN"/>
        </w:rPr>
        <w:t xml:space="preserve">Need further analyze for the status of 90.381 FCC regulation until Aug. RAN4 meeting. </w:t>
      </w:r>
    </w:p>
    <w:p w:rsidR="00F4026B" w:rsidRPr="001A0A06" w:rsidRDefault="00C009A0" w:rsidP="001A0A06">
      <w:pPr>
        <w:pStyle w:val="afa"/>
        <w:widowControl/>
        <w:numPr>
          <w:ilvl w:val="0"/>
          <w:numId w:val="6"/>
        </w:numPr>
        <w:tabs>
          <w:tab w:val="clear" w:pos="720"/>
          <w:tab w:val="num" w:pos="940"/>
        </w:tabs>
        <w:autoSpaceDE/>
        <w:autoSpaceDN/>
        <w:adjustRightInd/>
        <w:ind w:leftChars="264" w:left="941"/>
        <w:jc w:val="left"/>
        <w:rPr>
          <w:szCs w:val="24"/>
          <w:highlight w:val="green"/>
          <w:lang w:eastAsia="zh-CN"/>
        </w:rPr>
      </w:pPr>
      <w:r w:rsidRPr="007A1043">
        <w:rPr>
          <w:szCs w:val="24"/>
          <w:highlight w:val="green"/>
          <w:lang w:eastAsia="zh-CN"/>
        </w:rPr>
        <w:t xml:space="preserve">If the </w:t>
      </w:r>
      <w:r>
        <w:rPr>
          <w:szCs w:val="24"/>
          <w:highlight w:val="green"/>
          <w:lang w:eastAsia="zh-CN"/>
        </w:rPr>
        <w:t>proposed emission requirements from R4-</w:t>
      </w:r>
      <w:r w:rsidRPr="007A1043">
        <w:rPr>
          <w:szCs w:val="24"/>
          <w:highlight w:val="green"/>
          <w:lang w:eastAsia="zh-CN"/>
        </w:rPr>
        <w:t>1915430(Qualcomm) is not clear</w:t>
      </w:r>
      <w:r w:rsidRPr="0093310F">
        <w:rPr>
          <w:szCs w:val="24"/>
          <w:highlight w:val="green"/>
          <w:lang w:eastAsia="zh-CN"/>
        </w:rPr>
        <w:t xml:space="preserve"> </w:t>
      </w:r>
      <w:r w:rsidRPr="007A1043">
        <w:rPr>
          <w:szCs w:val="24"/>
          <w:highlight w:val="green"/>
          <w:lang w:eastAsia="zh-CN"/>
        </w:rPr>
        <w:t>until # RAN 100-e meeting, then the A-MPR requirement will revise to consider the latest 90.381 FCC regulation.</w:t>
      </w:r>
    </w:p>
    <w:p w:rsidR="00C74C08" w:rsidRPr="00182346" w:rsidRDefault="00C74C08" w:rsidP="00AE1946">
      <w:pPr>
        <w:rPr>
          <w:rFonts w:eastAsia="바탕"/>
          <w:lang w:val="en-US" w:eastAsia="ko-KR"/>
        </w:rPr>
      </w:pPr>
    </w:p>
    <w:p w:rsidR="001E17F6" w:rsidRDefault="00CE668C" w:rsidP="00DE20F2">
      <w:pPr>
        <w:rPr>
          <w:rFonts w:eastAsia="바탕"/>
          <w:lang w:eastAsia="ko-KR"/>
        </w:rPr>
      </w:pPr>
      <w:r>
        <w:rPr>
          <w:rFonts w:eastAsia="바탕"/>
          <w:lang w:eastAsia="ko-KR"/>
        </w:rPr>
        <w:t xml:space="preserve"> </w:t>
      </w:r>
      <w:r w:rsidR="00AE1946">
        <w:rPr>
          <w:rFonts w:eastAsia="바탕"/>
          <w:lang w:val="en-US" w:eastAsia="ko-KR"/>
        </w:rPr>
        <w:t>In this paper</w:t>
      </w:r>
      <w:r w:rsidR="009C46ED">
        <w:rPr>
          <w:rFonts w:eastAsia="바탕"/>
          <w:lang w:eastAsia="ko-KR"/>
        </w:rPr>
        <w:t xml:space="preserve">, </w:t>
      </w:r>
      <w:r w:rsidR="00F335A3">
        <w:rPr>
          <w:rFonts w:eastAsia="바탕"/>
          <w:lang w:eastAsia="ko-KR"/>
        </w:rPr>
        <w:t>we</w:t>
      </w:r>
      <w:r w:rsidR="00DC3541">
        <w:rPr>
          <w:rFonts w:eastAsia="바탕" w:hint="eastAsia"/>
          <w:lang w:eastAsia="ko-KR"/>
        </w:rPr>
        <w:t xml:space="preserve"> </w:t>
      </w:r>
      <w:r w:rsidR="00507002">
        <w:rPr>
          <w:rFonts w:eastAsia="바탕" w:hint="eastAsia"/>
          <w:lang w:eastAsia="ko-KR"/>
        </w:rPr>
        <w:t>provide</w:t>
      </w:r>
      <w:r w:rsidR="00DC3541">
        <w:rPr>
          <w:rFonts w:eastAsia="바탕" w:hint="eastAsia"/>
          <w:lang w:eastAsia="ko-KR"/>
        </w:rPr>
        <w:t xml:space="preserve"> our </w:t>
      </w:r>
      <w:r w:rsidR="00DC3541">
        <w:rPr>
          <w:rFonts w:eastAsia="바탕"/>
          <w:lang w:eastAsia="ko-KR"/>
        </w:rPr>
        <w:t xml:space="preserve">views </w:t>
      </w:r>
      <w:r w:rsidR="002A63BE">
        <w:rPr>
          <w:rFonts w:eastAsia="바탕"/>
          <w:lang w:eastAsia="ko-KR"/>
        </w:rPr>
        <w:t xml:space="preserve">on </w:t>
      </w:r>
      <w:r w:rsidR="00182346">
        <w:rPr>
          <w:rFonts w:eastAsia="바탕"/>
          <w:lang w:eastAsia="ko-KR"/>
        </w:rPr>
        <w:t xml:space="preserve">the </w:t>
      </w:r>
      <w:r w:rsidR="001A71BC">
        <w:rPr>
          <w:rFonts w:eastAsia="바탕"/>
          <w:lang w:eastAsia="ko-KR"/>
        </w:rPr>
        <w:t xml:space="preserve">5G V2X maintenance issues </w:t>
      </w:r>
      <w:r w:rsidR="00CD572D">
        <w:rPr>
          <w:rFonts w:eastAsia="바탕"/>
          <w:lang w:eastAsia="ko-KR"/>
        </w:rPr>
        <w:t xml:space="preserve">for </w:t>
      </w:r>
      <w:r w:rsidR="001A71BC">
        <w:rPr>
          <w:rFonts w:eastAsia="바탕"/>
          <w:lang w:eastAsia="ko-KR"/>
        </w:rPr>
        <w:t>the FCC regulations in ITS spectrum (n47).</w:t>
      </w:r>
    </w:p>
    <w:p w:rsidR="00B67DFA" w:rsidRPr="00C10897" w:rsidRDefault="001A71BC" w:rsidP="00646B20">
      <w:pPr>
        <w:pStyle w:val="1"/>
        <w:numPr>
          <w:ilvl w:val="0"/>
          <w:numId w:val="4"/>
        </w:numPr>
        <w:spacing w:before="240"/>
        <w:ind w:left="823"/>
        <w:rPr>
          <w:rFonts w:eastAsia="맑은 고딕"/>
          <w:lang w:val="en-US" w:eastAsia="ko-KR"/>
        </w:rPr>
      </w:pPr>
      <w:r>
        <w:rPr>
          <w:rFonts w:eastAsia="맑은 고딕"/>
          <w:lang w:val="en-US" w:eastAsia="ko-KR"/>
        </w:rPr>
        <w:t>FCC regulation</w:t>
      </w:r>
    </w:p>
    <w:p w:rsidR="001A71BC" w:rsidRDefault="00182346" w:rsidP="00E514CB">
      <w:pPr>
        <w:ind w:firstLine="403"/>
        <w:rPr>
          <w:rFonts w:eastAsia="바탕"/>
          <w:lang w:eastAsia="ko-KR"/>
        </w:rPr>
      </w:pPr>
      <w:r>
        <w:rPr>
          <w:rFonts w:eastAsia="바탕"/>
          <w:lang w:eastAsia="ko-KR"/>
        </w:rPr>
        <w:t xml:space="preserve">In </w:t>
      </w:r>
      <w:r w:rsidR="00D42412">
        <w:rPr>
          <w:rFonts w:eastAsia="바탕"/>
          <w:lang w:eastAsia="ko-KR"/>
        </w:rPr>
        <w:t>FCC, they allocated</w:t>
      </w:r>
      <w:r w:rsidR="001A71BC">
        <w:rPr>
          <w:rFonts w:eastAsia="바탕"/>
          <w:lang w:eastAsia="ko-KR"/>
        </w:rPr>
        <w:t xml:space="preserve"> the 30MHz frequency</w:t>
      </w:r>
      <w:r w:rsidR="00D42412">
        <w:rPr>
          <w:rFonts w:eastAsia="바탕"/>
          <w:lang w:eastAsia="ko-KR"/>
        </w:rPr>
        <w:t xml:space="preserve"> range</w:t>
      </w:r>
      <w:r w:rsidR="001A71BC">
        <w:rPr>
          <w:rFonts w:eastAsia="바탕"/>
          <w:lang w:eastAsia="ko-KR"/>
        </w:rPr>
        <w:t xml:space="preserve"> (5895~5925MHz) for vehicular system as shown in Figure 1</w:t>
      </w:r>
      <w:r w:rsidR="00D42412">
        <w:rPr>
          <w:rFonts w:eastAsia="바탕"/>
          <w:lang w:eastAsia="ko-KR"/>
        </w:rPr>
        <w:t xml:space="preserve"> [1]</w:t>
      </w:r>
      <w:r w:rsidR="001A71BC">
        <w:rPr>
          <w:rFonts w:eastAsia="바탕"/>
          <w:lang w:eastAsia="ko-KR"/>
        </w:rPr>
        <w:t>.</w:t>
      </w:r>
    </w:p>
    <w:p w:rsidR="001A71BC" w:rsidRDefault="008F1D84" w:rsidP="00FC794F">
      <w:pPr>
        <w:spacing w:after="0"/>
        <w:jc w:val="center"/>
        <w:rPr>
          <w:rFonts w:eastAsia="바탕"/>
          <w:lang w:eastAsia="ko-KR"/>
        </w:rPr>
      </w:pPr>
      <w:r>
        <w:rPr>
          <w:rFonts w:eastAsia="바탕"/>
          <w:noProof/>
          <w:lang w:val="en-US" w:eastAsia="ko-KR"/>
        </w:rPr>
        <w:drawing>
          <wp:inline distT="0" distB="0" distL="0" distR="0">
            <wp:extent cx="5727700" cy="1477645"/>
            <wp:effectExtent l="0" t="0" r="6350" b="825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7700" cy="1477645"/>
                    </a:xfrm>
                    <a:prstGeom prst="rect">
                      <a:avLst/>
                    </a:prstGeom>
                    <a:noFill/>
                    <a:ln>
                      <a:noFill/>
                    </a:ln>
                  </pic:spPr>
                </pic:pic>
              </a:graphicData>
            </a:graphic>
          </wp:inline>
        </w:drawing>
      </w:r>
    </w:p>
    <w:p w:rsidR="001A71BC" w:rsidRPr="002A702E" w:rsidRDefault="001A71BC" w:rsidP="001A71BC">
      <w:pPr>
        <w:jc w:val="center"/>
        <w:rPr>
          <w:rFonts w:eastAsia="바탕"/>
          <w:b/>
          <w:lang w:eastAsia="ko-KR"/>
        </w:rPr>
      </w:pPr>
      <w:r w:rsidRPr="002A702E">
        <w:rPr>
          <w:rFonts w:eastAsia="바탕" w:hint="eastAsia"/>
          <w:b/>
          <w:lang w:eastAsia="ko-KR"/>
        </w:rPr>
        <w:t xml:space="preserve">Figure 1. </w:t>
      </w:r>
      <w:r w:rsidRPr="002A702E">
        <w:rPr>
          <w:rFonts w:eastAsia="바탕"/>
          <w:b/>
          <w:lang w:eastAsia="ko-KR"/>
        </w:rPr>
        <w:t>5.9GHz ITS/Unlicensed band</w:t>
      </w:r>
    </w:p>
    <w:p w:rsidR="008F1D84" w:rsidRDefault="001A71BC" w:rsidP="00E514CB">
      <w:pPr>
        <w:ind w:firstLine="403"/>
      </w:pPr>
      <w:r>
        <w:rPr>
          <w:rFonts w:eastAsia="바탕"/>
          <w:lang w:eastAsia="ko-KR"/>
        </w:rPr>
        <w:t xml:space="preserve">In </w:t>
      </w:r>
      <w:r w:rsidR="008F1D84">
        <w:rPr>
          <w:rFonts w:eastAsia="바탕"/>
          <w:lang w:eastAsia="ko-KR"/>
        </w:rPr>
        <w:t>5850~5895MHz, the unlicensed Devices (</w:t>
      </w:r>
      <w:r w:rsidR="008F1D84">
        <w:t>U-NII-4 band)</w:t>
      </w:r>
      <w:r w:rsidR="008F1D84">
        <w:rPr>
          <w:rFonts w:eastAsia="바탕"/>
          <w:lang w:eastAsia="ko-KR"/>
        </w:rPr>
        <w:t xml:space="preserve"> such as Wi-Fi, </w:t>
      </w:r>
      <w:r w:rsidR="008F1D84">
        <w:t>commercial hotspots or carrier-deployed LAA/NR-U equipment can be used. And other 30MHz will be used for vehicular service based on LTE-V2X, NR V2X or DSRC system.</w:t>
      </w:r>
    </w:p>
    <w:p w:rsidR="001A71BC" w:rsidRDefault="008F1D84" w:rsidP="00E514CB">
      <w:pPr>
        <w:ind w:firstLine="403"/>
        <w:rPr>
          <w:rFonts w:eastAsia="바탕"/>
          <w:lang w:eastAsia="ko-KR"/>
        </w:rPr>
      </w:pPr>
      <w:r>
        <w:t xml:space="preserve">In </w:t>
      </w:r>
      <w:r w:rsidR="00D42412">
        <w:rPr>
          <w:rFonts w:eastAsia="바탕"/>
          <w:lang w:eastAsia="ko-KR"/>
        </w:rPr>
        <w:t>Rel-16 5G V2X WI phase</w:t>
      </w:r>
      <w:r w:rsidR="001A71BC">
        <w:rPr>
          <w:rFonts w:eastAsia="바탕"/>
          <w:lang w:eastAsia="ko-KR"/>
        </w:rPr>
        <w:t xml:space="preserve">, RAN4 </w:t>
      </w:r>
      <w:r w:rsidR="00D42412">
        <w:rPr>
          <w:rFonts w:eastAsia="바탕"/>
          <w:lang w:eastAsia="ko-KR"/>
        </w:rPr>
        <w:t xml:space="preserve">had </w:t>
      </w:r>
      <w:r w:rsidR="001A71BC">
        <w:rPr>
          <w:rFonts w:eastAsia="바탕"/>
          <w:lang w:eastAsia="ko-KR"/>
        </w:rPr>
        <w:t xml:space="preserve">specified </w:t>
      </w:r>
      <w:r w:rsidR="00D42412">
        <w:rPr>
          <w:rFonts w:eastAsia="바탕"/>
          <w:lang w:eastAsia="ko-KR"/>
        </w:rPr>
        <w:t>A-MPR</w:t>
      </w:r>
      <w:r>
        <w:rPr>
          <w:rFonts w:eastAsia="바탕"/>
          <w:lang w:eastAsia="ko-KR"/>
        </w:rPr>
        <w:t xml:space="preserve"> requirements with</w:t>
      </w:r>
      <w:r w:rsidR="00D42412">
        <w:rPr>
          <w:rFonts w:eastAsia="바탕"/>
          <w:lang w:eastAsia="ko-KR"/>
        </w:rPr>
        <w:t xml:space="preserve"> NS_52 to meet the </w:t>
      </w:r>
      <w:r w:rsidR="001A71BC">
        <w:rPr>
          <w:rFonts w:eastAsia="바탕"/>
          <w:lang w:eastAsia="ko-KR"/>
        </w:rPr>
        <w:t>A-SEM requirements</w:t>
      </w:r>
      <w:r w:rsidR="00D42412">
        <w:rPr>
          <w:rFonts w:eastAsia="바탕"/>
          <w:lang w:eastAsia="ko-KR"/>
        </w:rPr>
        <w:t xml:space="preserve"> which was based on [2</w:t>
      </w:r>
      <w:r>
        <w:rPr>
          <w:rFonts w:eastAsia="바탕"/>
          <w:lang w:eastAsia="ko-KR"/>
        </w:rPr>
        <w:t>] paper. But the 40MHz c</w:t>
      </w:r>
      <w:r w:rsidR="001A71BC">
        <w:rPr>
          <w:rFonts w:eastAsia="바탕"/>
          <w:lang w:eastAsia="ko-KR"/>
        </w:rPr>
        <w:t xml:space="preserve">hannel </w:t>
      </w:r>
      <w:r>
        <w:rPr>
          <w:rFonts w:eastAsia="바탕"/>
          <w:lang w:eastAsia="ko-KR"/>
        </w:rPr>
        <w:t xml:space="preserve">BW is not possible </w:t>
      </w:r>
      <w:r w:rsidR="001A71BC">
        <w:rPr>
          <w:rFonts w:eastAsia="바탕"/>
          <w:lang w:eastAsia="ko-KR"/>
        </w:rPr>
        <w:t>in U</w:t>
      </w:r>
      <w:r>
        <w:rPr>
          <w:rFonts w:eastAsia="바탕"/>
          <w:lang w:eastAsia="ko-KR"/>
        </w:rPr>
        <w:t xml:space="preserve">nited </w:t>
      </w:r>
      <w:r w:rsidR="001A71BC">
        <w:rPr>
          <w:rFonts w:eastAsia="바탕"/>
          <w:lang w:eastAsia="ko-KR"/>
        </w:rPr>
        <w:t>S</w:t>
      </w:r>
      <w:r>
        <w:rPr>
          <w:rFonts w:eastAsia="바탕"/>
          <w:lang w:eastAsia="ko-KR"/>
        </w:rPr>
        <w:t>tates</w:t>
      </w:r>
      <w:r w:rsidR="001A71BC">
        <w:rPr>
          <w:rFonts w:eastAsia="바탕"/>
          <w:lang w:eastAsia="ko-KR"/>
        </w:rPr>
        <w:t>.</w:t>
      </w:r>
    </w:p>
    <w:p w:rsidR="00C1189E" w:rsidRDefault="00C1189E" w:rsidP="00E514CB">
      <w:pPr>
        <w:ind w:firstLine="403"/>
        <w:rPr>
          <w:rFonts w:eastAsia="바탕"/>
          <w:lang w:eastAsia="ko-KR"/>
        </w:rPr>
      </w:pPr>
      <w:r>
        <w:rPr>
          <w:rFonts w:eastAsia="바탕"/>
          <w:lang w:eastAsia="ko-KR"/>
        </w:rPr>
        <w:t>Hence</w:t>
      </w:r>
      <w:r w:rsidR="002A702E">
        <w:rPr>
          <w:rFonts w:eastAsia="바탕"/>
          <w:lang w:eastAsia="ko-KR"/>
        </w:rPr>
        <w:t>, RAN4 has discussed whether updating FCC additional-SEM</w:t>
      </w:r>
      <w:r>
        <w:rPr>
          <w:rFonts w:eastAsia="바탕"/>
          <w:lang w:eastAsia="ko-KR"/>
        </w:rPr>
        <w:t xml:space="preserve"> requirements for 30MHz channel BW or keep the current emission requirements as shown in Table 1</w:t>
      </w:r>
      <w:r w:rsidR="00FC794F">
        <w:rPr>
          <w:rFonts w:eastAsia="바탕"/>
          <w:lang w:eastAsia="ko-KR"/>
        </w:rPr>
        <w:t>[2</w:t>
      </w:r>
      <w:r>
        <w:rPr>
          <w:rFonts w:eastAsia="바탕"/>
          <w:lang w:eastAsia="ko-KR"/>
        </w:rPr>
        <w:t>]</w:t>
      </w:r>
      <w:r w:rsidR="002A702E">
        <w:rPr>
          <w:rFonts w:eastAsia="바탕"/>
          <w:lang w:eastAsia="ko-KR"/>
        </w:rPr>
        <w:t>.</w:t>
      </w:r>
    </w:p>
    <w:p w:rsidR="002A702E" w:rsidRPr="002A702E" w:rsidRDefault="002A702E" w:rsidP="002A702E">
      <w:pPr>
        <w:jc w:val="center"/>
        <w:rPr>
          <w:rFonts w:eastAsia="바탕"/>
          <w:b/>
          <w:lang w:eastAsia="ko-KR"/>
        </w:rPr>
      </w:pPr>
      <w:r>
        <w:rPr>
          <w:rFonts w:eastAsia="바탕" w:hint="eastAsia"/>
          <w:b/>
          <w:lang w:eastAsia="ko-KR"/>
        </w:rPr>
        <w:lastRenderedPageBreak/>
        <w:t>Table</w:t>
      </w:r>
      <w:r w:rsidRPr="002A702E">
        <w:rPr>
          <w:rFonts w:eastAsia="바탕" w:hint="eastAsia"/>
          <w:b/>
          <w:lang w:eastAsia="ko-KR"/>
        </w:rPr>
        <w:t xml:space="preserve"> 1. </w:t>
      </w:r>
      <w:r>
        <w:rPr>
          <w:rFonts w:eastAsia="바탕"/>
          <w:b/>
          <w:lang w:eastAsia="ko-KR"/>
        </w:rPr>
        <w:t>Additional spurious emission mask for 40MHz (5865~5905MHz)</w:t>
      </w:r>
    </w:p>
    <w:tbl>
      <w:tblPr>
        <w:tblW w:w="5253" w:type="dxa"/>
        <w:jc w:val="center"/>
        <w:tblLook w:val="04A0" w:firstRow="1" w:lastRow="0" w:firstColumn="1" w:lastColumn="0" w:noHBand="0" w:noVBand="1"/>
      </w:tblPr>
      <w:tblGrid>
        <w:gridCol w:w="880"/>
        <w:gridCol w:w="1153"/>
        <w:gridCol w:w="1480"/>
        <w:gridCol w:w="1740"/>
      </w:tblGrid>
      <w:tr w:rsidR="00FC794F" w:rsidRPr="00174FBD" w:rsidTr="002A702E">
        <w:trPr>
          <w:trHeight w:val="750"/>
          <w:jc w:val="center"/>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 xml:space="preserve">ΔfOOB (MHz) </w:t>
            </w:r>
          </w:p>
        </w:tc>
        <w:tc>
          <w:tcPr>
            <w:tcW w:w="1153" w:type="dxa"/>
            <w:tcBorders>
              <w:top w:val="single" w:sz="4" w:space="0" w:color="auto"/>
              <w:left w:val="nil"/>
              <w:bottom w:val="single" w:sz="4" w:space="0" w:color="auto"/>
              <w:right w:val="single" w:sz="4" w:space="0" w:color="auto"/>
            </w:tcBorders>
            <w:shd w:val="clear" w:color="auto" w:fill="auto"/>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Frequency (MHz)</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 xml:space="preserve">Emission Limit (dBm) </w:t>
            </w:r>
          </w:p>
        </w:tc>
        <w:tc>
          <w:tcPr>
            <w:tcW w:w="1740" w:type="dxa"/>
            <w:tcBorders>
              <w:top w:val="single" w:sz="4" w:space="0" w:color="auto"/>
              <w:left w:val="nil"/>
              <w:bottom w:val="single" w:sz="4" w:space="0" w:color="auto"/>
              <w:right w:val="single" w:sz="4" w:space="0" w:color="auto"/>
            </w:tcBorders>
            <w:shd w:val="clear" w:color="auto" w:fill="auto"/>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 xml:space="preserve">Measurement Bandwidth </w:t>
            </w:r>
          </w:p>
        </w:tc>
      </w:tr>
      <w:tr w:rsidR="00FC794F" w:rsidRPr="00174FBD" w:rsidTr="002A702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-100</w:t>
            </w:r>
          </w:p>
        </w:tc>
        <w:tc>
          <w:tcPr>
            <w:tcW w:w="1153"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5765</w:t>
            </w:r>
          </w:p>
        </w:tc>
        <w:tc>
          <w:tcPr>
            <w:tcW w:w="148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-30</w:t>
            </w:r>
          </w:p>
        </w:tc>
        <w:tc>
          <w:tcPr>
            <w:tcW w:w="174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1MHz</w:t>
            </w:r>
          </w:p>
        </w:tc>
      </w:tr>
      <w:tr w:rsidR="00FC794F" w:rsidRPr="00174FBD" w:rsidTr="002A702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-40</w:t>
            </w:r>
          </w:p>
        </w:tc>
        <w:tc>
          <w:tcPr>
            <w:tcW w:w="1153"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5825</w:t>
            </w:r>
          </w:p>
        </w:tc>
        <w:tc>
          <w:tcPr>
            <w:tcW w:w="148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-50</w:t>
            </w:r>
          </w:p>
        </w:tc>
        <w:tc>
          <w:tcPr>
            <w:tcW w:w="174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FC794F" w:rsidRPr="00174FBD" w:rsidTr="002A702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-20</w:t>
            </w:r>
          </w:p>
        </w:tc>
        <w:tc>
          <w:tcPr>
            <w:tcW w:w="1153"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5845</w:t>
            </w:r>
          </w:p>
        </w:tc>
        <w:tc>
          <w:tcPr>
            <w:tcW w:w="148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-43</w:t>
            </w:r>
          </w:p>
        </w:tc>
        <w:tc>
          <w:tcPr>
            <w:tcW w:w="174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FC794F" w:rsidRPr="00174FBD" w:rsidTr="002A702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-10</w:t>
            </w:r>
          </w:p>
        </w:tc>
        <w:tc>
          <w:tcPr>
            <w:tcW w:w="1153"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5855</w:t>
            </w:r>
          </w:p>
        </w:tc>
        <w:tc>
          <w:tcPr>
            <w:tcW w:w="148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-38</w:t>
            </w:r>
          </w:p>
        </w:tc>
        <w:tc>
          <w:tcPr>
            <w:tcW w:w="174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FC794F" w:rsidRPr="00174FBD" w:rsidTr="002A702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-2</w:t>
            </w:r>
          </w:p>
        </w:tc>
        <w:tc>
          <w:tcPr>
            <w:tcW w:w="1153"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5863</w:t>
            </w:r>
          </w:p>
        </w:tc>
        <w:tc>
          <w:tcPr>
            <w:tcW w:w="148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-36</w:t>
            </w:r>
          </w:p>
        </w:tc>
        <w:tc>
          <w:tcPr>
            <w:tcW w:w="174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FC794F" w:rsidRPr="00174FBD" w:rsidTr="002A702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0</w:t>
            </w:r>
          </w:p>
        </w:tc>
        <w:tc>
          <w:tcPr>
            <w:tcW w:w="1153"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5865</w:t>
            </w:r>
          </w:p>
        </w:tc>
        <w:tc>
          <w:tcPr>
            <w:tcW w:w="148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-32</w:t>
            </w:r>
          </w:p>
        </w:tc>
        <w:tc>
          <w:tcPr>
            <w:tcW w:w="174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FC794F" w:rsidRPr="00174FBD" w:rsidTr="002A702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 </w:t>
            </w:r>
          </w:p>
        </w:tc>
        <w:tc>
          <w:tcPr>
            <w:tcW w:w="1153"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 </w:t>
            </w:r>
          </w:p>
        </w:tc>
        <w:tc>
          <w:tcPr>
            <w:tcW w:w="174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 </w:t>
            </w:r>
          </w:p>
        </w:tc>
      </w:tr>
      <w:tr w:rsidR="00FC794F" w:rsidRPr="00174FBD" w:rsidTr="002A702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0</w:t>
            </w:r>
          </w:p>
        </w:tc>
        <w:tc>
          <w:tcPr>
            <w:tcW w:w="1153"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5905</w:t>
            </w:r>
          </w:p>
        </w:tc>
        <w:tc>
          <w:tcPr>
            <w:tcW w:w="148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-32</w:t>
            </w:r>
          </w:p>
        </w:tc>
        <w:tc>
          <w:tcPr>
            <w:tcW w:w="174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FC794F" w:rsidRPr="00174FBD" w:rsidTr="002A702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2</w:t>
            </w:r>
          </w:p>
        </w:tc>
        <w:tc>
          <w:tcPr>
            <w:tcW w:w="1153"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5907</w:t>
            </w:r>
          </w:p>
        </w:tc>
        <w:tc>
          <w:tcPr>
            <w:tcW w:w="148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-36</w:t>
            </w:r>
          </w:p>
        </w:tc>
        <w:tc>
          <w:tcPr>
            <w:tcW w:w="174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FC794F" w:rsidRPr="00174FBD" w:rsidTr="002A702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10</w:t>
            </w:r>
          </w:p>
        </w:tc>
        <w:tc>
          <w:tcPr>
            <w:tcW w:w="1153"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5915</w:t>
            </w:r>
          </w:p>
        </w:tc>
        <w:tc>
          <w:tcPr>
            <w:tcW w:w="148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-38</w:t>
            </w:r>
          </w:p>
        </w:tc>
        <w:tc>
          <w:tcPr>
            <w:tcW w:w="174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FC794F" w:rsidRPr="00174FBD" w:rsidTr="002A702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20</w:t>
            </w:r>
          </w:p>
        </w:tc>
        <w:tc>
          <w:tcPr>
            <w:tcW w:w="1153"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5925</w:t>
            </w:r>
          </w:p>
        </w:tc>
        <w:tc>
          <w:tcPr>
            <w:tcW w:w="148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-43</w:t>
            </w:r>
          </w:p>
        </w:tc>
        <w:tc>
          <w:tcPr>
            <w:tcW w:w="174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FC794F" w:rsidRPr="00174FBD" w:rsidTr="002A702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40</w:t>
            </w:r>
          </w:p>
        </w:tc>
        <w:tc>
          <w:tcPr>
            <w:tcW w:w="1153"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5945</w:t>
            </w:r>
          </w:p>
        </w:tc>
        <w:tc>
          <w:tcPr>
            <w:tcW w:w="148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-50</w:t>
            </w:r>
          </w:p>
        </w:tc>
        <w:tc>
          <w:tcPr>
            <w:tcW w:w="174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FC794F" w:rsidRPr="00174FBD" w:rsidTr="002A702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100</w:t>
            </w:r>
          </w:p>
        </w:tc>
        <w:tc>
          <w:tcPr>
            <w:tcW w:w="1153"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6105</w:t>
            </w:r>
          </w:p>
        </w:tc>
        <w:tc>
          <w:tcPr>
            <w:tcW w:w="148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-30</w:t>
            </w:r>
          </w:p>
        </w:tc>
        <w:tc>
          <w:tcPr>
            <w:tcW w:w="1740" w:type="dxa"/>
            <w:tcBorders>
              <w:top w:val="nil"/>
              <w:left w:val="nil"/>
              <w:bottom w:val="single" w:sz="4" w:space="0" w:color="auto"/>
              <w:right w:val="single" w:sz="4" w:space="0" w:color="auto"/>
            </w:tcBorders>
            <w:shd w:val="clear" w:color="auto" w:fill="auto"/>
            <w:noWrap/>
            <w:vAlign w:val="bottom"/>
            <w:hideMark/>
          </w:tcPr>
          <w:p w:rsidR="00FC794F" w:rsidRPr="00174FBD" w:rsidRDefault="00FC794F" w:rsidP="00E659BC">
            <w:pPr>
              <w:spacing w:after="0"/>
              <w:jc w:val="center"/>
              <w:rPr>
                <w:rFonts w:ascii="Calibri" w:hAnsi="Calibri" w:cs="Calibri"/>
                <w:color w:val="000000"/>
                <w:lang w:val="en-US"/>
              </w:rPr>
            </w:pPr>
            <w:r w:rsidRPr="00174FBD">
              <w:rPr>
                <w:rFonts w:ascii="Calibri" w:hAnsi="Calibri" w:cs="Calibri"/>
                <w:color w:val="000000"/>
                <w:lang w:val="en-US"/>
              </w:rPr>
              <w:t>1MHz</w:t>
            </w:r>
          </w:p>
        </w:tc>
      </w:tr>
    </w:tbl>
    <w:p w:rsidR="00C1189E" w:rsidRDefault="00C1189E" w:rsidP="00E514CB">
      <w:pPr>
        <w:ind w:firstLine="403"/>
        <w:rPr>
          <w:rFonts w:eastAsia="바탕"/>
          <w:lang w:eastAsia="ko-KR"/>
        </w:rPr>
      </w:pPr>
    </w:p>
    <w:p w:rsidR="002A702E" w:rsidRPr="002A702E" w:rsidRDefault="002A702E" w:rsidP="002A702E">
      <w:pPr>
        <w:rPr>
          <w:rFonts w:eastAsia="바탕"/>
          <w:lang w:eastAsia="ko-KR"/>
        </w:rPr>
      </w:pPr>
      <w:r>
        <w:rPr>
          <w:rFonts w:eastAsia="바탕" w:hint="eastAsia"/>
          <w:lang w:eastAsia="ko-KR"/>
        </w:rPr>
        <w:t>Based on FCC decision</w:t>
      </w:r>
      <w:r w:rsidR="00366DFF">
        <w:rPr>
          <w:rFonts w:eastAsia="바탕"/>
          <w:lang w:eastAsia="ko-KR"/>
        </w:rPr>
        <w:t xml:space="preserve"> as shown in Figure 1</w:t>
      </w:r>
      <w:r>
        <w:rPr>
          <w:rFonts w:eastAsia="바탕" w:hint="eastAsia"/>
          <w:lang w:eastAsia="ko-KR"/>
        </w:rPr>
        <w:t xml:space="preserve">, we prefer to revise A-MPR and A-SEM requirements based on current FCC </w:t>
      </w:r>
      <w:r w:rsidRPr="002A702E">
        <w:rPr>
          <w:rFonts w:eastAsia="바탕"/>
          <w:lang w:eastAsia="ko-KR"/>
        </w:rPr>
        <w:t>PART §90.381 C-V2X emissions as follow</w:t>
      </w:r>
    </w:p>
    <w:p w:rsidR="002A702E" w:rsidRDefault="002A702E" w:rsidP="002A702E">
      <w:pPr>
        <w:rPr>
          <w:rFonts w:eastAsiaTheme="minorEastAsia"/>
          <w:sz w:val="20"/>
          <w:lang w:eastAsia="ko-KR"/>
        </w:rPr>
      </w:pPr>
      <w:r>
        <w:rPr>
          <w:rFonts w:eastAsiaTheme="minorEastAsia" w:hint="eastAsia"/>
          <w:noProof/>
          <w:sz w:val="20"/>
          <w:lang w:val="en-US" w:eastAsia="ko-KR"/>
        </w:rPr>
        <w:drawing>
          <wp:inline distT="0" distB="0" distL="0" distR="0" wp14:anchorId="0986D71D" wp14:editId="14F72511">
            <wp:extent cx="4800600" cy="3248025"/>
            <wp:effectExtent l="0" t="0" r="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0" cy="3248025"/>
                    </a:xfrm>
                    <a:prstGeom prst="rect">
                      <a:avLst/>
                    </a:prstGeom>
                    <a:noFill/>
                    <a:ln>
                      <a:noFill/>
                    </a:ln>
                  </pic:spPr>
                </pic:pic>
              </a:graphicData>
            </a:graphic>
          </wp:inline>
        </w:drawing>
      </w:r>
    </w:p>
    <w:p w:rsidR="00C1189E" w:rsidRDefault="00C1189E" w:rsidP="002A702E">
      <w:pPr>
        <w:rPr>
          <w:rFonts w:eastAsiaTheme="minorEastAsia"/>
          <w:sz w:val="20"/>
          <w:lang w:eastAsia="ko-KR"/>
        </w:rPr>
      </w:pPr>
    </w:p>
    <w:p w:rsidR="002A702E" w:rsidRDefault="002A702E" w:rsidP="002A702E">
      <w:pPr>
        <w:rPr>
          <w:rFonts w:eastAsiaTheme="minorEastAsia"/>
          <w:sz w:val="20"/>
          <w:lang w:eastAsia="ko-KR"/>
        </w:rPr>
      </w:pPr>
      <w:r>
        <w:rPr>
          <w:rFonts w:eastAsiaTheme="minorEastAsia" w:hint="eastAsia"/>
          <w:sz w:val="20"/>
          <w:lang w:eastAsia="ko-KR"/>
        </w:rPr>
        <w:t>Based on the above emission limits, RAN4 would update the A-MPR requirements</w:t>
      </w:r>
      <w:r w:rsidR="00281A00">
        <w:rPr>
          <w:rFonts w:eastAsiaTheme="minorEastAsia" w:hint="eastAsia"/>
          <w:sz w:val="20"/>
          <w:lang w:eastAsia="ko-KR"/>
        </w:rPr>
        <w:t>.</w:t>
      </w:r>
    </w:p>
    <w:p w:rsidR="00281A00" w:rsidRDefault="00BE6ED3" w:rsidP="00BE6ED3">
      <w:pPr>
        <w:rPr>
          <w:rFonts w:eastAsia="바탕"/>
          <w:b/>
          <w:lang w:eastAsia="ko-KR"/>
        </w:rPr>
      </w:pPr>
      <w:r w:rsidRPr="00BE6ED3">
        <w:rPr>
          <w:rFonts w:eastAsia="바탕"/>
          <w:b/>
          <w:lang w:eastAsia="ko-KR"/>
        </w:rPr>
        <w:t xml:space="preserve">Proposal 1: </w:t>
      </w:r>
      <w:r w:rsidR="00281A00">
        <w:rPr>
          <w:rFonts w:eastAsia="바탕"/>
          <w:b/>
          <w:lang w:eastAsia="ko-KR"/>
        </w:rPr>
        <w:t xml:space="preserve">RAN4 would update A-MPR requirements based on current FCC emission limits. And revise the A-SEM requirements by NS_52 in Section 6.5E.2.3.2 in TS38.101-1. </w:t>
      </w:r>
    </w:p>
    <w:p w:rsidR="000856A3" w:rsidRPr="00BE6ED3" w:rsidRDefault="000856A3" w:rsidP="00BE6ED3">
      <w:pPr>
        <w:rPr>
          <w:rFonts w:eastAsia="바탕"/>
          <w:b/>
          <w:lang w:eastAsia="ko-KR"/>
        </w:rPr>
      </w:pPr>
      <w:r>
        <w:rPr>
          <w:rFonts w:eastAsia="바탕"/>
          <w:b/>
          <w:lang w:eastAsia="ko-KR"/>
        </w:rPr>
        <w:t xml:space="preserve">Proposal 2: For </w:t>
      </w:r>
      <w:r w:rsidR="00281A00">
        <w:rPr>
          <w:rFonts w:eastAsia="바탕"/>
          <w:b/>
          <w:lang w:eastAsia="ko-KR"/>
        </w:rPr>
        <w:t>A-MPR simulation campaign, RAN4 can complete the A-MPR issue until RAN4 #101-e meeting.</w:t>
      </w:r>
    </w:p>
    <w:p w:rsidR="000239F5" w:rsidRDefault="000239F5" w:rsidP="00D779A1">
      <w:pPr>
        <w:rPr>
          <w:rFonts w:eastAsia="바탕"/>
          <w:lang w:eastAsia="ko-KR"/>
        </w:rPr>
      </w:pPr>
    </w:p>
    <w:p w:rsidR="008C050A" w:rsidRPr="00691D94" w:rsidRDefault="008C050A" w:rsidP="00C10897">
      <w:pPr>
        <w:pStyle w:val="1"/>
        <w:numPr>
          <w:ilvl w:val="0"/>
          <w:numId w:val="4"/>
        </w:numPr>
        <w:spacing w:before="240"/>
        <w:ind w:left="823"/>
        <w:rPr>
          <w:rFonts w:eastAsia="맑은 고딕"/>
          <w:lang w:val="en-US" w:eastAsia="ko-KR"/>
        </w:rPr>
      </w:pPr>
      <w:r w:rsidRPr="00691D94">
        <w:rPr>
          <w:rFonts w:eastAsia="맑은 고딕"/>
          <w:lang w:val="en-US" w:eastAsia="ko-KR"/>
        </w:rPr>
        <w:lastRenderedPageBreak/>
        <w:t>Conclusions</w:t>
      </w:r>
    </w:p>
    <w:p w:rsidR="00281A00" w:rsidRDefault="008C050A" w:rsidP="003B732E">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sidR="00577933">
        <w:rPr>
          <w:rFonts w:eastAsia="바탕"/>
          <w:lang w:eastAsia="ko-KR"/>
        </w:rPr>
        <w:t>we</w:t>
      </w:r>
      <w:r w:rsidR="00577933">
        <w:rPr>
          <w:rFonts w:eastAsia="바탕" w:hint="eastAsia"/>
          <w:lang w:eastAsia="ko-KR"/>
        </w:rPr>
        <w:t xml:space="preserve"> provide our </w:t>
      </w:r>
      <w:r w:rsidR="00577933">
        <w:rPr>
          <w:rFonts w:eastAsia="바탕"/>
          <w:lang w:eastAsia="ko-KR"/>
        </w:rPr>
        <w:t xml:space="preserve">views </w:t>
      </w:r>
      <w:r w:rsidR="005924FE">
        <w:rPr>
          <w:rFonts w:eastAsia="바탕" w:hint="eastAsia"/>
          <w:lang w:eastAsia="ko-KR"/>
        </w:rPr>
        <w:t xml:space="preserve">on </w:t>
      </w:r>
      <w:r w:rsidR="00281A00">
        <w:rPr>
          <w:rFonts w:eastAsia="바탕"/>
          <w:lang w:eastAsia="ko-KR"/>
        </w:rPr>
        <w:t>the 5G V2X maintenance issues for the FCC regulations in ITS spectrum (n47) based on updating FCC regulation.</w:t>
      </w:r>
      <w:r w:rsidR="00C10897">
        <w:rPr>
          <w:rFonts w:eastAsia="바탕"/>
          <w:lang w:eastAsia="ko-KR"/>
        </w:rPr>
        <w:t xml:space="preserve"> </w:t>
      </w:r>
    </w:p>
    <w:p w:rsidR="00F4529B" w:rsidRDefault="00281A00" w:rsidP="003B732E">
      <w:pPr>
        <w:rPr>
          <w:rFonts w:eastAsia="바탕"/>
          <w:lang w:eastAsia="ko-KR"/>
        </w:rPr>
      </w:pPr>
      <w:r>
        <w:rPr>
          <w:rFonts w:eastAsia="바탕"/>
          <w:lang w:eastAsia="ko-KR"/>
        </w:rPr>
        <w:t>Based on the above analysis</w:t>
      </w:r>
      <w:r w:rsidR="00C10897">
        <w:rPr>
          <w:rFonts w:eastAsia="바탕"/>
          <w:lang w:eastAsia="ko-KR"/>
        </w:rPr>
        <w:t xml:space="preserve">, </w:t>
      </w:r>
      <w:r w:rsidR="00F4529B">
        <w:rPr>
          <w:rFonts w:eastAsia="바탕"/>
          <w:lang w:eastAsia="ko-KR"/>
        </w:rPr>
        <w:t>we propose as following</w:t>
      </w:r>
    </w:p>
    <w:bookmarkEnd w:id="1"/>
    <w:bookmarkEnd w:id="2"/>
    <w:bookmarkEnd w:id="3"/>
    <w:p w:rsidR="00281A00" w:rsidRDefault="00281A00" w:rsidP="00281A00">
      <w:pPr>
        <w:rPr>
          <w:rFonts w:eastAsia="바탕"/>
          <w:b/>
          <w:lang w:eastAsia="ko-KR"/>
        </w:rPr>
      </w:pPr>
      <w:r w:rsidRPr="00BE6ED3">
        <w:rPr>
          <w:rFonts w:eastAsia="바탕"/>
          <w:b/>
          <w:lang w:eastAsia="ko-KR"/>
        </w:rPr>
        <w:t xml:space="preserve">Proposal 1: </w:t>
      </w:r>
      <w:r>
        <w:rPr>
          <w:rFonts w:eastAsia="바탕"/>
          <w:b/>
          <w:lang w:eastAsia="ko-KR"/>
        </w:rPr>
        <w:t xml:space="preserve">RAN4 would update A-MPR requirements based on current FCC emission limits. And revise the A-SEM requirements by NS_52 in Section 6.5E.2.3.2 in TS38.101-1. </w:t>
      </w:r>
    </w:p>
    <w:p w:rsidR="00281A00" w:rsidRPr="00BE6ED3" w:rsidRDefault="00281A00" w:rsidP="00281A00">
      <w:pPr>
        <w:rPr>
          <w:rFonts w:eastAsia="바탕"/>
          <w:b/>
          <w:lang w:eastAsia="ko-KR"/>
        </w:rPr>
      </w:pPr>
      <w:r>
        <w:rPr>
          <w:rFonts w:eastAsia="바탕"/>
          <w:b/>
          <w:lang w:eastAsia="ko-KR"/>
        </w:rPr>
        <w:t>Proposal 2: For A-MPR simulation campaign, RAN4 can complete the A-MPR issue until RAN4 #101-e meeting.</w:t>
      </w:r>
    </w:p>
    <w:p w:rsidR="00F4529B" w:rsidRPr="00281A00" w:rsidRDefault="00F4529B" w:rsidP="005924FE">
      <w:pPr>
        <w:rPr>
          <w:rFonts w:eastAsia="바탕"/>
          <w:b/>
          <w:lang w:eastAsia="ko-KR"/>
        </w:rPr>
      </w:pPr>
    </w:p>
    <w:p w:rsidR="009552D5" w:rsidRPr="009552D5" w:rsidRDefault="009552D5" w:rsidP="00E357EC">
      <w:pPr>
        <w:pStyle w:val="1"/>
        <w:spacing w:before="240"/>
        <w:rPr>
          <w:rFonts w:eastAsia="맑은 고딕"/>
          <w:lang w:val="en-US" w:eastAsia="ko-KR"/>
        </w:rPr>
      </w:pPr>
      <w:r w:rsidRPr="009552D5">
        <w:rPr>
          <w:rFonts w:eastAsia="맑은 고딕"/>
          <w:lang w:val="en-US" w:eastAsia="ko-KR"/>
        </w:rPr>
        <w:t>Reference</w:t>
      </w:r>
    </w:p>
    <w:p w:rsidR="009552D5" w:rsidRDefault="00D42412" w:rsidP="009552D5">
      <w:pPr>
        <w:widowControl/>
        <w:autoSpaceDE/>
        <w:autoSpaceDN/>
        <w:adjustRightInd/>
        <w:rPr>
          <w:rFonts w:eastAsia="Times New Roman"/>
          <w:sz w:val="20"/>
          <w:szCs w:val="20"/>
          <w:lang w:val="en-US" w:eastAsia="zh-CN"/>
        </w:rPr>
      </w:pPr>
      <w:r>
        <w:rPr>
          <w:rFonts w:eastAsia="Times New Roman" w:hint="eastAsia"/>
          <w:sz w:val="20"/>
          <w:szCs w:val="20"/>
          <w:lang w:val="en-US" w:eastAsia="zh-CN"/>
        </w:rPr>
        <w:t xml:space="preserve">[1] </w:t>
      </w:r>
      <w:r w:rsidR="008F1D84">
        <w:rPr>
          <w:rFonts w:eastAsia="Times New Roman"/>
          <w:sz w:val="20"/>
          <w:szCs w:val="20"/>
          <w:lang w:val="en-US" w:eastAsia="zh-CN"/>
        </w:rPr>
        <w:t>FCC</w:t>
      </w:r>
      <w:r w:rsidRPr="00D42412">
        <w:rPr>
          <w:rFonts w:eastAsia="Times New Roman"/>
          <w:sz w:val="20"/>
          <w:szCs w:val="20"/>
          <w:lang w:val="en-US" w:eastAsia="zh-CN"/>
        </w:rPr>
        <w:t>-</w:t>
      </w:r>
      <w:r w:rsidR="008F1D84">
        <w:rPr>
          <w:rFonts w:eastAsia="Times New Roman"/>
          <w:sz w:val="20"/>
          <w:szCs w:val="20"/>
          <w:lang w:val="en-US" w:eastAsia="zh-CN"/>
        </w:rPr>
        <w:t>20-164</w:t>
      </w:r>
      <w:r w:rsidR="009552D5">
        <w:rPr>
          <w:rFonts w:eastAsia="Times New Roman" w:hint="eastAsia"/>
          <w:sz w:val="20"/>
          <w:szCs w:val="20"/>
          <w:lang w:val="en-US" w:eastAsia="zh-CN"/>
        </w:rPr>
        <w:t xml:space="preserve">, </w:t>
      </w:r>
      <w:r w:rsidR="00182346">
        <w:rPr>
          <w:rFonts w:eastAsia="Times New Roman"/>
          <w:sz w:val="20"/>
          <w:szCs w:val="20"/>
          <w:lang w:val="en-US" w:eastAsia="zh-CN"/>
        </w:rPr>
        <w:t>“</w:t>
      </w:r>
      <w:r w:rsidR="004E5F7C">
        <w:rPr>
          <w:rFonts w:eastAsia="Times New Roman"/>
          <w:sz w:val="20"/>
          <w:szCs w:val="20"/>
          <w:lang w:val="en-US" w:eastAsia="zh-CN"/>
        </w:rPr>
        <w:t>Federal Communication Commission:</w:t>
      </w:r>
      <w:r w:rsidRPr="00D42412">
        <w:rPr>
          <w:rFonts w:eastAsia="Times New Roman"/>
          <w:sz w:val="20"/>
          <w:szCs w:val="20"/>
          <w:lang w:val="en-US" w:eastAsia="zh-CN"/>
        </w:rPr>
        <w:t xml:space="preserve"> Use of the 5.850-5.925 GHz Band</w:t>
      </w:r>
      <w:r w:rsidR="004E5F7C">
        <w:rPr>
          <w:rFonts w:eastAsia="Times New Roman"/>
          <w:sz w:val="20"/>
          <w:szCs w:val="20"/>
          <w:lang w:val="en-US" w:eastAsia="zh-CN"/>
        </w:rPr>
        <w:t>”</w:t>
      </w:r>
    </w:p>
    <w:p w:rsidR="003445EB" w:rsidRDefault="003445E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[2] </w:t>
      </w:r>
      <w:r w:rsidR="00A77BC2">
        <w:rPr>
          <w:rFonts w:eastAsia="Times New Roman"/>
          <w:sz w:val="20"/>
          <w:szCs w:val="20"/>
          <w:lang w:val="en-US" w:eastAsia="zh-CN"/>
        </w:rPr>
        <w:t>R4-1915430</w:t>
      </w:r>
      <w:r w:rsidR="00182346">
        <w:rPr>
          <w:rFonts w:eastAsia="Times New Roman"/>
          <w:sz w:val="20"/>
          <w:szCs w:val="20"/>
          <w:lang w:val="en-US" w:eastAsia="zh-CN"/>
        </w:rPr>
        <w:t>, “</w:t>
      </w:r>
      <w:r w:rsidR="00C10897" w:rsidRPr="00A77BC2">
        <w:rPr>
          <w:rFonts w:eastAsia="Times New Roman"/>
          <w:sz w:val="20"/>
          <w:szCs w:val="20"/>
          <w:lang w:val="en-US" w:eastAsia="zh-CN"/>
        </w:rPr>
        <w:t>WF on coexistence evaluation necessity in n14</w:t>
      </w:r>
      <w:r w:rsidR="00182346">
        <w:rPr>
          <w:rFonts w:eastAsia="Times New Roman"/>
          <w:sz w:val="20"/>
          <w:szCs w:val="20"/>
          <w:lang w:val="en-US" w:eastAsia="zh-CN"/>
        </w:rPr>
        <w:t xml:space="preserve">”, </w:t>
      </w:r>
      <w:r w:rsidR="00A77BC2">
        <w:rPr>
          <w:rFonts w:eastAsia="Times New Roman"/>
          <w:sz w:val="20"/>
          <w:szCs w:val="20"/>
          <w:lang w:val="en-US" w:eastAsia="zh-CN"/>
        </w:rPr>
        <w:t>Qualcomm</w:t>
      </w:r>
    </w:p>
    <w:p w:rsidR="009552D5" w:rsidRDefault="003445EB" w:rsidP="00C314F3">
      <w:pPr>
        <w:widowControl/>
        <w:autoSpaceDE/>
        <w:autoSpaceDN/>
        <w:adjustRightInd/>
        <w:rPr>
          <w:rFonts w:eastAsia="Times New Roman"/>
          <w:sz w:val="20"/>
          <w:szCs w:val="20"/>
          <w:lang w:val="en-US" w:eastAsia="zh-CN"/>
        </w:rPr>
      </w:pPr>
      <w:r>
        <w:rPr>
          <w:rFonts w:eastAsia="Times New Roman"/>
          <w:sz w:val="20"/>
          <w:szCs w:val="20"/>
          <w:lang w:val="en-US" w:eastAsia="zh-CN"/>
        </w:rPr>
        <w:t>[</w:t>
      </w:r>
      <w:r w:rsidR="00182346">
        <w:rPr>
          <w:rFonts w:eastAsia="Times New Roman"/>
          <w:sz w:val="20"/>
          <w:szCs w:val="20"/>
          <w:lang w:val="en-US" w:eastAsia="zh-CN"/>
        </w:rPr>
        <w:t>3</w:t>
      </w:r>
      <w:r w:rsidR="007A38B8">
        <w:rPr>
          <w:rFonts w:eastAsia="Times New Roman"/>
          <w:sz w:val="20"/>
          <w:szCs w:val="20"/>
          <w:lang w:val="en-US" w:eastAsia="zh-CN"/>
        </w:rPr>
        <w:t xml:space="preserve">] </w:t>
      </w:r>
      <w:r w:rsidR="009552D5">
        <w:rPr>
          <w:rFonts w:eastAsia="Times New Roman"/>
          <w:sz w:val="20"/>
          <w:szCs w:val="20"/>
          <w:lang w:val="en-US" w:eastAsia="zh-CN"/>
        </w:rPr>
        <w:t>TS38.101-1</w:t>
      </w:r>
    </w:p>
    <w:p w:rsidR="00C10897" w:rsidRPr="003445EB" w:rsidRDefault="00C10897" w:rsidP="00C314F3">
      <w:pPr>
        <w:widowControl/>
        <w:autoSpaceDE/>
        <w:autoSpaceDN/>
        <w:adjustRightInd/>
        <w:rPr>
          <w:rFonts w:eastAsia="바탕"/>
          <w:b/>
          <w:lang w:eastAsia="ko-KR"/>
        </w:rPr>
      </w:pPr>
      <w:r>
        <w:rPr>
          <w:rFonts w:eastAsia="Times New Roman"/>
          <w:sz w:val="20"/>
          <w:szCs w:val="20"/>
          <w:lang w:val="en-US" w:eastAsia="zh-CN"/>
        </w:rPr>
        <w:t>[4] TR36.877</w:t>
      </w:r>
    </w:p>
    <w:sectPr w:rsidR="00C10897" w:rsidRPr="003445EB"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068" w:rsidRDefault="00987068">
      <w:r>
        <w:separator/>
      </w:r>
    </w:p>
  </w:endnote>
  <w:endnote w:type="continuationSeparator" w:id="0">
    <w:p w:rsidR="00987068" w:rsidRDefault="00987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w:altName w:val="바탕"/>
    <w:panose1 w:val="00000000000000000000"/>
    <w:charset w:val="81"/>
    <w:family w:val="roman"/>
    <w:notTrueType/>
    <w:pitch w:val="default"/>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068" w:rsidRDefault="00987068">
      <w:r>
        <w:separator/>
      </w:r>
    </w:p>
  </w:footnote>
  <w:footnote w:type="continuationSeparator" w:id="0">
    <w:p w:rsidR="00987068" w:rsidRDefault="009870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DC2ED1"/>
    <w:multiLevelType w:val="hybridMultilevel"/>
    <w:tmpl w:val="74348B10"/>
    <w:lvl w:ilvl="0" w:tplc="7E982292">
      <w:start w:val="1"/>
      <w:numFmt w:val="bullet"/>
      <w:lvlText w:val="–"/>
      <w:lvlJc w:val="left"/>
      <w:pPr>
        <w:tabs>
          <w:tab w:val="num" w:pos="720"/>
        </w:tabs>
        <w:ind w:left="720" w:hanging="360"/>
      </w:pPr>
      <w:rPr>
        <w:rFonts w:ascii="Arial" w:hAnsi="Arial" w:hint="default"/>
      </w:rPr>
    </w:lvl>
    <w:lvl w:ilvl="1" w:tplc="C720A0A0">
      <w:start w:val="1"/>
      <w:numFmt w:val="bullet"/>
      <w:lvlText w:val="–"/>
      <w:lvlJc w:val="left"/>
      <w:pPr>
        <w:tabs>
          <w:tab w:val="num" w:pos="1440"/>
        </w:tabs>
        <w:ind w:left="1440" w:hanging="360"/>
      </w:pPr>
      <w:rPr>
        <w:rFonts w:ascii="Arial" w:hAnsi="Arial" w:hint="default"/>
      </w:rPr>
    </w:lvl>
    <w:lvl w:ilvl="2" w:tplc="8D4AE7D4" w:tentative="1">
      <w:start w:val="1"/>
      <w:numFmt w:val="bullet"/>
      <w:lvlText w:val="–"/>
      <w:lvlJc w:val="left"/>
      <w:pPr>
        <w:tabs>
          <w:tab w:val="num" w:pos="2160"/>
        </w:tabs>
        <w:ind w:left="2160" w:hanging="360"/>
      </w:pPr>
      <w:rPr>
        <w:rFonts w:ascii="Arial" w:hAnsi="Arial" w:hint="default"/>
      </w:rPr>
    </w:lvl>
    <w:lvl w:ilvl="3" w:tplc="3EE8A6C0" w:tentative="1">
      <w:start w:val="1"/>
      <w:numFmt w:val="bullet"/>
      <w:lvlText w:val="–"/>
      <w:lvlJc w:val="left"/>
      <w:pPr>
        <w:tabs>
          <w:tab w:val="num" w:pos="2880"/>
        </w:tabs>
        <w:ind w:left="2880" w:hanging="360"/>
      </w:pPr>
      <w:rPr>
        <w:rFonts w:ascii="Arial" w:hAnsi="Arial" w:hint="default"/>
      </w:rPr>
    </w:lvl>
    <w:lvl w:ilvl="4" w:tplc="7EA047C0" w:tentative="1">
      <w:start w:val="1"/>
      <w:numFmt w:val="bullet"/>
      <w:lvlText w:val="–"/>
      <w:lvlJc w:val="left"/>
      <w:pPr>
        <w:tabs>
          <w:tab w:val="num" w:pos="3600"/>
        </w:tabs>
        <w:ind w:left="3600" w:hanging="360"/>
      </w:pPr>
      <w:rPr>
        <w:rFonts w:ascii="Arial" w:hAnsi="Arial" w:hint="default"/>
      </w:rPr>
    </w:lvl>
    <w:lvl w:ilvl="5" w:tplc="DE4A4568" w:tentative="1">
      <w:start w:val="1"/>
      <w:numFmt w:val="bullet"/>
      <w:lvlText w:val="–"/>
      <w:lvlJc w:val="left"/>
      <w:pPr>
        <w:tabs>
          <w:tab w:val="num" w:pos="4320"/>
        </w:tabs>
        <w:ind w:left="4320" w:hanging="360"/>
      </w:pPr>
      <w:rPr>
        <w:rFonts w:ascii="Arial" w:hAnsi="Arial" w:hint="default"/>
      </w:rPr>
    </w:lvl>
    <w:lvl w:ilvl="6" w:tplc="34EE0838" w:tentative="1">
      <w:start w:val="1"/>
      <w:numFmt w:val="bullet"/>
      <w:lvlText w:val="–"/>
      <w:lvlJc w:val="left"/>
      <w:pPr>
        <w:tabs>
          <w:tab w:val="num" w:pos="5040"/>
        </w:tabs>
        <w:ind w:left="5040" w:hanging="360"/>
      </w:pPr>
      <w:rPr>
        <w:rFonts w:ascii="Arial" w:hAnsi="Arial" w:hint="default"/>
      </w:rPr>
    </w:lvl>
    <w:lvl w:ilvl="7" w:tplc="8BEEA4FC" w:tentative="1">
      <w:start w:val="1"/>
      <w:numFmt w:val="bullet"/>
      <w:lvlText w:val="–"/>
      <w:lvlJc w:val="left"/>
      <w:pPr>
        <w:tabs>
          <w:tab w:val="num" w:pos="5760"/>
        </w:tabs>
        <w:ind w:left="5760" w:hanging="360"/>
      </w:pPr>
      <w:rPr>
        <w:rFonts w:ascii="Arial" w:hAnsi="Arial" w:hint="default"/>
      </w:rPr>
    </w:lvl>
    <w:lvl w:ilvl="8" w:tplc="FC54BC9E" w:tentative="1">
      <w:start w:val="1"/>
      <w:numFmt w:val="bullet"/>
      <w:lvlText w:val="–"/>
      <w:lvlJc w:val="left"/>
      <w:pPr>
        <w:tabs>
          <w:tab w:val="num" w:pos="6480"/>
        </w:tabs>
        <w:ind w:left="6480" w:hanging="360"/>
      </w:pPr>
      <w:rPr>
        <w:rFonts w:ascii="Arial" w:hAnsi="Arial" w:hint="default"/>
      </w:rPr>
    </w:lvl>
  </w:abstractNum>
  <w:abstractNum w:abstractNumId="2">
    <w:nsid w:val="16D21E0C"/>
    <w:multiLevelType w:val="hybridMultilevel"/>
    <w:tmpl w:val="ED16029E"/>
    <w:lvl w:ilvl="0" w:tplc="BE5A3BFE">
      <w:start w:val="1"/>
      <w:numFmt w:val="bullet"/>
      <w:lvlText w:val="–"/>
      <w:lvlJc w:val="left"/>
      <w:pPr>
        <w:tabs>
          <w:tab w:val="num" w:pos="720"/>
        </w:tabs>
        <w:ind w:left="720" w:hanging="360"/>
      </w:pPr>
      <w:rPr>
        <w:rFonts w:ascii="Arial" w:hAnsi="Arial" w:hint="default"/>
      </w:rPr>
    </w:lvl>
    <w:lvl w:ilvl="1" w:tplc="D0503918">
      <w:start w:val="1"/>
      <w:numFmt w:val="bullet"/>
      <w:lvlText w:val="–"/>
      <w:lvlJc w:val="left"/>
      <w:pPr>
        <w:tabs>
          <w:tab w:val="num" w:pos="1440"/>
        </w:tabs>
        <w:ind w:left="1440" w:hanging="360"/>
      </w:pPr>
      <w:rPr>
        <w:rFonts w:ascii="Arial" w:hAnsi="Arial" w:hint="default"/>
      </w:rPr>
    </w:lvl>
    <w:lvl w:ilvl="2" w:tplc="C5421D7E" w:tentative="1">
      <w:start w:val="1"/>
      <w:numFmt w:val="bullet"/>
      <w:lvlText w:val="–"/>
      <w:lvlJc w:val="left"/>
      <w:pPr>
        <w:tabs>
          <w:tab w:val="num" w:pos="2160"/>
        </w:tabs>
        <w:ind w:left="2160" w:hanging="360"/>
      </w:pPr>
      <w:rPr>
        <w:rFonts w:ascii="Arial" w:hAnsi="Arial" w:hint="default"/>
      </w:rPr>
    </w:lvl>
    <w:lvl w:ilvl="3" w:tplc="EBD62B30" w:tentative="1">
      <w:start w:val="1"/>
      <w:numFmt w:val="bullet"/>
      <w:lvlText w:val="–"/>
      <w:lvlJc w:val="left"/>
      <w:pPr>
        <w:tabs>
          <w:tab w:val="num" w:pos="2880"/>
        </w:tabs>
        <w:ind w:left="2880" w:hanging="360"/>
      </w:pPr>
      <w:rPr>
        <w:rFonts w:ascii="Arial" w:hAnsi="Arial" w:hint="default"/>
      </w:rPr>
    </w:lvl>
    <w:lvl w:ilvl="4" w:tplc="204A0D74" w:tentative="1">
      <w:start w:val="1"/>
      <w:numFmt w:val="bullet"/>
      <w:lvlText w:val="–"/>
      <w:lvlJc w:val="left"/>
      <w:pPr>
        <w:tabs>
          <w:tab w:val="num" w:pos="3600"/>
        </w:tabs>
        <w:ind w:left="3600" w:hanging="360"/>
      </w:pPr>
      <w:rPr>
        <w:rFonts w:ascii="Arial" w:hAnsi="Arial" w:hint="default"/>
      </w:rPr>
    </w:lvl>
    <w:lvl w:ilvl="5" w:tplc="64905D10" w:tentative="1">
      <w:start w:val="1"/>
      <w:numFmt w:val="bullet"/>
      <w:lvlText w:val="–"/>
      <w:lvlJc w:val="left"/>
      <w:pPr>
        <w:tabs>
          <w:tab w:val="num" w:pos="4320"/>
        </w:tabs>
        <w:ind w:left="4320" w:hanging="360"/>
      </w:pPr>
      <w:rPr>
        <w:rFonts w:ascii="Arial" w:hAnsi="Arial" w:hint="default"/>
      </w:rPr>
    </w:lvl>
    <w:lvl w:ilvl="6" w:tplc="A3988682" w:tentative="1">
      <w:start w:val="1"/>
      <w:numFmt w:val="bullet"/>
      <w:lvlText w:val="–"/>
      <w:lvlJc w:val="left"/>
      <w:pPr>
        <w:tabs>
          <w:tab w:val="num" w:pos="5040"/>
        </w:tabs>
        <w:ind w:left="5040" w:hanging="360"/>
      </w:pPr>
      <w:rPr>
        <w:rFonts w:ascii="Arial" w:hAnsi="Arial" w:hint="default"/>
      </w:rPr>
    </w:lvl>
    <w:lvl w:ilvl="7" w:tplc="A0CE850A" w:tentative="1">
      <w:start w:val="1"/>
      <w:numFmt w:val="bullet"/>
      <w:lvlText w:val="–"/>
      <w:lvlJc w:val="left"/>
      <w:pPr>
        <w:tabs>
          <w:tab w:val="num" w:pos="5760"/>
        </w:tabs>
        <w:ind w:left="5760" w:hanging="360"/>
      </w:pPr>
      <w:rPr>
        <w:rFonts w:ascii="Arial" w:hAnsi="Arial" w:hint="default"/>
      </w:rPr>
    </w:lvl>
    <w:lvl w:ilvl="8" w:tplc="3FD2D092" w:tentative="1">
      <w:start w:val="1"/>
      <w:numFmt w:val="bullet"/>
      <w:lvlText w:val="–"/>
      <w:lvlJc w:val="left"/>
      <w:pPr>
        <w:tabs>
          <w:tab w:val="num" w:pos="6480"/>
        </w:tabs>
        <w:ind w:left="6480" w:hanging="360"/>
      </w:pPr>
      <w:rPr>
        <w:rFonts w:ascii="Arial" w:hAnsi="Arial" w:hint="default"/>
      </w:rPr>
    </w:lvl>
  </w:abstractNum>
  <w:abstractNum w:abstractNumId="3">
    <w:nsid w:val="171539A0"/>
    <w:multiLevelType w:val="hybridMultilevel"/>
    <w:tmpl w:val="FBB86948"/>
    <w:lvl w:ilvl="0" w:tplc="4A3AFA6E">
      <w:start w:val="1"/>
      <w:numFmt w:val="bullet"/>
      <w:lvlText w:val="•"/>
      <w:lvlJc w:val="left"/>
      <w:pPr>
        <w:tabs>
          <w:tab w:val="num" w:pos="720"/>
        </w:tabs>
        <w:ind w:left="720" w:hanging="360"/>
      </w:pPr>
      <w:rPr>
        <w:rFonts w:ascii="Arial" w:hAnsi="Arial" w:hint="default"/>
      </w:rPr>
    </w:lvl>
    <w:lvl w:ilvl="1" w:tplc="D80E0FE8" w:tentative="1">
      <w:start w:val="1"/>
      <w:numFmt w:val="bullet"/>
      <w:lvlText w:val="•"/>
      <w:lvlJc w:val="left"/>
      <w:pPr>
        <w:tabs>
          <w:tab w:val="num" w:pos="1440"/>
        </w:tabs>
        <w:ind w:left="1440" w:hanging="360"/>
      </w:pPr>
      <w:rPr>
        <w:rFonts w:ascii="Arial" w:hAnsi="Arial" w:hint="default"/>
      </w:rPr>
    </w:lvl>
    <w:lvl w:ilvl="2" w:tplc="97B22516" w:tentative="1">
      <w:start w:val="1"/>
      <w:numFmt w:val="bullet"/>
      <w:lvlText w:val="•"/>
      <w:lvlJc w:val="left"/>
      <w:pPr>
        <w:tabs>
          <w:tab w:val="num" w:pos="2160"/>
        </w:tabs>
        <w:ind w:left="2160" w:hanging="360"/>
      </w:pPr>
      <w:rPr>
        <w:rFonts w:ascii="Arial" w:hAnsi="Arial" w:hint="default"/>
      </w:rPr>
    </w:lvl>
    <w:lvl w:ilvl="3" w:tplc="437C6686" w:tentative="1">
      <w:start w:val="1"/>
      <w:numFmt w:val="bullet"/>
      <w:lvlText w:val="•"/>
      <w:lvlJc w:val="left"/>
      <w:pPr>
        <w:tabs>
          <w:tab w:val="num" w:pos="2880"/>
        </w:tabs>
        <w:ind w:left="2880" w:hanging="360"/>
      </w:pPr>
      <w:rPr>
        <w:rFonts w:ascii="Arial" w:hAnsi="Arial" w:hint="default"/>
      </w:rPr>
    </w:lvl>
    <w:lvl w:ilvl="4" w:tplc="ABDA49CC" w:tentative="1">
      <w:start w:val="1"/>
      <w:numFmt w:val="bullet"/>
      <w:lvlText w:val="•"/>
      <w:lvlJc w:val="left"/>
      <w:pPr>
        <w:tabs>
          <w:tab w:val="num" w:pos="3600"/>
        </w:tabs>
        <w:ind w:left="3600" w:hanging="360"/>
      </w:pPr>
      <w:rPr>
        <w:rFonts w:ascii="Arial" w:hAnsi="Arial" w:hint="default"/>
      </w:rPr>
    </w:lvl>
    <w:lvl w:ilvl="5" w:tplc="8300228E" w:tentative="1">
      <w:start w:val="1"/>
      <w:numFmt w:val="bullet"/>
      <w:lvlText w:val="•"/>
      <w:lvlJc w:val="left"/>
      <w:pPr>
        <w:tabs>
          <w:tab w:val="num" w:pos="4320"/>
        </w:tabs>
        <w:ind w:left="4320" w:hanging="360"/>
      </w:pPr>
      <w:rPr>
        <w:rFonts w:ascii="Arial" w:hAnsi="Arial" w:hint="default"/>
      </w:rPr>
    </w:lvl>
    <w:lvl w:ilvl="6" w:tplc="E802127A" w:tentative="1">
      <w:start w:val="1"/>
      <w:numFmt w:val="bullet"/>
      <w:lvlText w:val="•"/>
      <w:lvlJc w:val="left"/>
      <w:pPr>
        <w:tabs>
          <w:tab w:val="num" w:pos="5040"/>
        </w:tabs>
        <w:ind w:left="5040" w:hanging="360"/>
      </w:pPr>
      <w:rPr>
        <w:rFonts w:ascii="Arial" w:hAnsi="Arial" w:hint="default"/>
      </w:rPr>
    </w:lvl>
    <w:lvl w:ilvl="7" w:tplc="13B0AD78" w:tentative="1">
      <w:start w:val="1"/>
      <w:numFmt w:val="bullet"/>
      <w:lvlText w:val="•"/>
      <w:lvlJc w:val="left"/>
      <w:pPr>
        <w:tabs>
          <w:tab w:val="num" w:pos="5760"/>
        </w:tabs>
        <w:ind w:left="5760" w:hanging="360"/>
      </w:pPr>
      <w:rPr>
        <w:rFonts w:ascii="Arial" w:hAnsi="Arial" w:hint="default"/>
      </w:rPr>
    </w:lvl>
    <w:lvl w:ilvl="8" w:tplc="6200360C" w:tentative="1">
      <w:start w:val="1"/>
      <w:numFmt w:val="bullet"/>
      <w:lvlText w:val="•"/>
      <w:lvlJc w:val="left"/>
      <w:pPr>
        <w:tabs>
          <w:tab w:val="num" w:pos="6480"/>
        </w:tabs>
        <w:ind w:left="6480" w:hanging="360"/>
      </w:pPr>
      <w:rPr>
        <w:rFonts w:ascii="Arial" w:hAnsi="Arial" w:hint="default"/>
      </w:rPr>
    </w:lvl>
  </w:abstractNum>
  <w:abstractNum w:abstractNumId="4">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nsid w:val="30306C35"/>
    <w:multiLevelType w:val="hybridMultilevel"/>
    <w:tmpl w:val="F8A42F74"/>
    <w:lvl w:ilvl="0" w:tplc="DBF84DD4">
      <w:start w:val="1"/>
      <w:numFmt w:val="bullet"/>
      <w:lvlText w:val="•"/>
      <w:lvlJc w:val="left"/>
      <w:pPr>
        <w:tabs>
          <w:tab w:val="num" w:pos="720"/>
        </w:tabs>
        <w:ind w:left="720" w:hanging="360"/>
      </w:pPr>
      <w:rPr>
        <w:rFonts w:ascii="Arial" w:hAnsi="Arial" w:hint="default"/>
      </w:rPr>
    </w:lvl>
    <w:lvl w:ilvl="1" w:tplc="3D1600AE" w:tentative="1">
      <w:start w:val="1"/>
      <w:numFmt w:val="bullet"/>
      <w:lvlText w:val="•"/>
      <w:lvlJc w:val="left"/>
      <w:pPr>
        <w:tabs>
          <w:tab w:val="num" w:pos="1440"/>
        </w:tabs>
        <w:ind w:left="1440" w:hanging="360"/>
      </w:pPr>
      <w:rPr>
        <w:rFonts w:ascii="Arial" w:hAnsi="Arial" w:hint="default"/>
      </w:rPr>
    </w:lvl>
    <w:lvl w:ilvl="2" w:tplc="8DAEEF54" w:tentative="1">
      <w:start w:val="1"/>
      <w:numFmt w:val="bullet"/>
      <w:lvlText w:val="•"/>
      <w:lvlJc w:val="left"/>
      <w:pPr>
        <w:tabs>
          <w:tab w:val="num" w:pos="2160"/>
        </w:tabs>
        <w:ind w:left="2160" w:hanging="360"/>
      </w:pPr>
      <w:rPr>
        <w:rFonts w:ascii="Arial" w:hAnsi="Arial" w:hint="default"/>
      </w:rPr>
    </w:lvl>
    <w:lvl w:ilvl="3" w:tplc="23FCD920" w:tentative="1">
      <w:start w:val="1"/>
      <w:numFmt w:val="bullet"/>
      <w:lvlText w:val="•"/>
      <w:lvlJc w:val="left"/>
      <w:pPr>
        <w:tabs>
          <w:tab w:val="num" w:pos="2880"/>
        </w:tabs>
        <w:ind w:left="2880" w:hanging="360"/>
      </w:pPr>
      <w:rPr>
        <w:rFonts w:ascii="Arial" w:hAnsi="Arial" w:hint="default"/>
      </w:rPr>
    </w:lvl>
    <w:lvl w:ilvl="4" w:tplc="5660F28E" w:tentative="1">
      <w:start w:val="1"/>
      <w:numFmt w:val="bullet"/>
      <w:lvlText w:val="•"/>
      <w:lvlJc w:val="left"/>
      <w:pPr>
        <w:tabs>
          <w:tab w:val="num" w:pos="3600"/>
        </w:tabs>
        <w:ind w:left="3600" w:hanging="360"/>
      </w:pPr>
      <w:rPr>
        <w:rFonts w:ascii="Arial" w:hAnsi="Arial" w:hint="default"/>
      </w:rPr>
    </w:lvl>
    <w:lvl w:ilvl="5" w:tplc="E0EEBCFC" w:tentative="1">
      <w:start w:val="1"/>
      <w:numFmt w:val="bullet"/>
      <w:lvlText w:val="•"/>
      <w:lvlJc w:val="left"/>
      <w:pPr>
        <w:tabs>
          <w:tab w:val="num" w:pos="4320"/>
        </w:tabs>
        <w:ind w:left="4320" w:hanging="360"/>
      </w:pPr>
      <w:rPr>
        <w:rFonts w:ascii="Arial" w:hAnsi="Arial" w:hint="default"/>
      </w:rPr>
    </w:lvl>
    <w:lvl w:ilvl="6" w:tplc="A3186A48" w:tentative="1">
      <w:start w:val="1"/>
      <w:numFmt w:val="bullet"/>
      <w:lvlText w:val="•"/>
      <w:lvlJc w:val="left"/>
      <w:pPr>
        <w:tabs>
          <w:tab w:val="num" w:pos="5040"/>
        </w:tabs>
        <w:ind w:left="5040" w:hanging="360"/>
      </w:pPr>
      <w:rPr>
        <w:rFonts w:ascii="Arial" w:hAnsi="Arial" w:hint="default"/>
      </w:rPr>
    </w:lvl>
    <w:lvl w:ilvl="7" w:tplc="E0129978" w:tentative="1">
      <w:start w:val="1"/>
      <w:numFmt w:val="bullet"/>
      <w:lvlText w:val="•"/>
      <w:lvlJc w:val="left"/>
      <w:pPr>
        <w:tabs>
          <w:tab w:val="num" w:pos="5760"/>
        </w:tabs>
        <w:ind w:left="5760" w:hanging="360"/>
      </w:pPr>
      <w:rPr>
        <w:rFonts w:ascii="Arial" w:hAnsi="Arial" w:hint="default"/>
      </w:rPr>
    </w:lvl>
    <w:lvl w:ilvl="8" w:tplc="29DEB4DA" w:tentative="1">
      <w:start w:val="1"/>
      <w:numFmt w:val="bullet"/>
      <w:lvlText w:val="•"/>
      <w:lvlJc w:val="left"/>
      <w:pPr>
        <w:tabs>
          <w:tab w:val="num" w:pos="6480"/>
        </w:tabs>
        <w:ind w:left="6480" w:hanging="360"/>
      </w:pPr>
      <w:rPr>
        <w:rFonts w:ascii="Arial" w:hAnsi="Arial" w:hint="default"/>
      </w:rPr>
    </w:lvl>
  </w:abstractNum>
  <w:abstractNum w:abstractNumId="6">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3B56D49"/>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FE026A5"/>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11">
    <w:nsid w:val="577D11BD"/>
    <w:multiLevelType w:val="hybridMultilevel"/>
    <w:tmpl w:val="D24A0D2E"/>
    <w:lvl w:ilvl="0" w:tplc="328224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A68110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61E14A97"/>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nsid w:val="628E269C"/>
    <w:multiLevelType w:val="hybridMultilevel"/>
    <w:tmpl w:val="AE9C1448"/>
    <w:lvl w:ilvl="0" w:tplc="4B6E375C">
      <w:start w:val="1"/>
      <w:numFmt w:val="bullet"/>
      <w:lvlText w:val="•"/>
      <w:lvlJc w:val="left"/>
      <w:pPr>
        <w:tabs>
          <w:tab w:val="num" w:pos="720"/>
        </w:tabs>
        <w:ind w:left="720" w:hanging="360"/>
      </w:pPr>
      <w:rPr>
        <w:rFonts w:ascii="Arial" w:hAnsi="Arial" w:hint="default"/>
      </w:rPr>
    </w:lvl>
    <w:lvl w:ilvl="1" w:tplc="2FAA1BF8" w:tentative="1">
      <w:start w:val="1"/>
      <w:numFmt w:val="bullet"/>
      <w:lvlText w:val="•"/>
      <w:lvlJc w:val="left"/>
      <w:pPr>
        <w:tabs>
          <w:tab w:val="num" w:pos="1440"/>
        </w:tabs>
        <w:ind w:left="1440" w:hanging="360"/>
      </w:pPr>
      <w:rPr>
        <w:rFonts w:ascii="Arial" w:hAnsi="Arial" w:hint="default"/>
      </w:rPr>
    </w:lvl>
    <w:lvl w:ilvl="2" w:tplc="43625FB2" w:tentative="1">
      <w:start w:val="1"/>
      <w:numFmt w:val="bullet"/>
      <w:lvlText w:val="•"/>
      <w:lvlJc w:val="left"/>
      <w:pPr>
        <w:tabs>
          <w:tab w:val="num" w:pos="2160"/>
        </w:tabs>
        <w:ind w:left="2160" w:hanging="360"/>
      </w:pPr>
      <w:rPr>
        <w:rFonts w:ascii="Arial" w:hAnsi="Arial" w:hint="default"/>
      </w:rPr>
    </w:lvl>
    <w:lvl w:ilvl="3" w:tplc="8A7E7786" w:tentative="1">
      <w:start w:val="1"/>
      <w:numFmt w:val="bullet"/>
      <w:lvlText w:val="•"/>
      <w:lvlJc w:val="left"/>
      <w:pPr>
        <w:tabs>
          <w:tab w:val="num" w:pos="2880"/>
        </w:tabs>
        <w:ind w:left="2880" w:hanging="360"/>
      </w:pPr>
      <w:rPr>
        <w:rFonts w:ascii="Arial" w:hAnsi="Arial" w:hint="default"/>
      </w:rPr>
    </w:lvl>
    <w:lvl w:ilvl="4" w:tplc="BB400F48" w:tentative="1">
      <w:start w:val="1"/>
      <w:numFmt w:val="bullet"/>
      <w:lvlText w:val="•"/>
      <w:lvlJc w:val="left"/>
      <w:pPr>
        <w:tabs>
          <w:tab w:val="num" w:pos="3600"/>
        </w:tabs>
        <w:ind w:left="3600" w:hanging="360"/>
      </w:pPr>
      <w:rPr>
        <w:rFonts w:ascii="Arial" w:hAnsi="Arial" w:hint="default"/>
      </w:rPr>
    </w:lvl>
    <w:lvl w:ilvl="5" w:tplc="7F8EF896" w:tentative="1">
      <w:start w:val="1"/>
      <w:numFmt w:val="bullet"/>
      <w:lvlText w:val="•"/>
      <w:lvlJc w:val="left"/>
      <w:pPr>
        <w:tabs>
          <w:tab w:val="num" w:pos="4320"/>
        </w:tabs>
        <w:ind w:left="4320" w:hanging="360"/>
      </w:pPr>
      <w:rPr>
        <w:rFonts w:ascii="Arial" w:hAnsi="Arial" w:hint="default"/>
      </w:rPr>
    </w:lvl>
    <w:lvl w:ilvl="6" w:tplc="52363218" w:tentative="1">
      <w:start w:val="1"/>
      <w:numFmt w:val="bullet"/>
      <w:lvlText w:val="•"/>
      <w:lvlJc w:val="left"/>
      <w:pPr>
        <w:tabs>
          <w:tab w:val="num" w:pos="5040"/>
        </w:tabs>
        <w:ind w:left="5040" w:hanging="360"/>
      </w:pPr>
      <w:rPr>
        <w:rFonts w:ascii="Arial" w:hAnsi="Arial" w:hint="default"/>
      </w:rPr>
    </w:lvl>
    <w:lvl w:ilvl="7" w:tplc="0B0C3A6E" w:tentative="1">
      <w:start w:val="1"/>
      <w:numFmt w:val="bullet"/>
      <w:lvlText w:val="•"/>
      <w:lvlJc w:val="left"/>
      <w:pPr>
        <w:tabs>
          <w:tab w:val="num" w:pos="5760"/>
        </w:tabs>
        <w:ind w:left="5760" w:hanging="360"/>
      </w:pPr>
      <w:rPr>
        <w:rFonts w:ascii="Arial" w:hAnsi="Arial" w:hint="default"/>
      </w:rPr>
    </w:lvl>
    <w:lvl w:ilvl="8" w:tplc="FA7637F2" w:tentative="1">
      <w:start w:val="1"/>
      <w:numFmt w:val="bullet"/>
      <w:lvlText w:val="•"/>
      <w:lvlJc w:val="left"/>
      <w:pPr>
        <w:tabs>
          <w:tab w:val="num" w:pos="6480"/>
        </w:tabs>
        <w:ind w:left="6480" w:hanging="360"/>
      </w:pPr>
      <w:rPr>
        <w:rFonts w:ascii="Arial" w:hAnsi="Arial" w:hint="default"/>
      </w:rPr>
    </w:lvl>
  </w:abstractNum>
  <w:abstractNum w:abstractNumId="16">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7">
    <w:nsid w:val="75D2554D"/>
    <w:multiLevelType w:val="hybridMultilevel"/>
    <w:tmpl w:val="82240762"/>
    <w:lvl w:ilvl="0" w:tplc="B1022006">
      <w:start w:val="1"/>
      <w:numFmt w:val="bullet"/>
      <w:lvlText w:val="•"/>
      <w:lvlJc w:val="left"/>
      <w:pPr>
        <w:tabs>
          <w:tab w:val="num" w:pos="720"/>
        </w:tabs>
        <w:ind w:left="720" w:hanging="360"/>
      </w:pPr>
      <w:rPr>
        <w:rFonts w:ascii="Arial" w:hAnsi="Arial" w:hint="default"/>
      </w:rPr>
    </w:lvl>
    <w:lvl w:ilvl="1" w:tplc="DA4C3C88" w:tentative="1">
      <w:start w:val="1"/>
      <w:numFmt w:val="bullet"/>
      <w:lvlText w:val="•"/>
      <w:lvlJc w:val="left"/>
      <w:pPr>
        <w:tabs>
          <w:tab w:val="num" w:pos="1440"/>
        </w:tabs>
        <w:ind w:left="1440" w:hanging="360"/>
      </w:pPr>
      <w:rPr>
        <w:rFonts w:ascii="Arial" w:hAnsi="Arial" w:hint="default"/>
      </w:rPr>
    </w:lvl>
    <w:lvl w:ilvl="2" w:tplc="A0F2D428">
      <w:start w:val="1"/>
      <w:numFmt w:val="bullet"/>
      <w:lvlText w:val="•"/>
      <w:lvlJc w:val="left"/>
      <w:pPr>
        <w:tabs>
          <w:tab w:val="num" w:pos="2160"/>
        </w:tabs>
        <w:ind w:left="2160" w:hanging="360"/>
      </w:pPr>
      <w:rPr>
        <w:rFonts w:ascii="Arial" w:hAnsi="Arial" w:hint="default"/>
      </w:rPr>
    </w:lvl>
    <w:lvl w:ilvl="3" w:tplc="B1AA55B2" w:tentative="1">
      <w:start w:val="1"/>
      <w:numFmt w:val="bullet"/>
      <w:lvlText w:val="•"/>
      <w:lvlJc w:val="left"/>
      <w:pPr>
        <w:tabs>
          <w:tab w:val="num" w:pos="2880"/>
        </w:tabs>
        <w:ind w:left="2880" w:hanging="360"/>
      </w:pPr>
      <w:rPr>
        <w:rFonts w:ascii="Arial" w:hAnsi="Arial" w:hint="default"/>
      </w:rPr>
    </w:lvl>
    <w:lvl w:ilvl="4" w:tplc="FCE818E2" w:tentative="1">
      <w:start w:val="1"/>
      <w:numFmt w:val="bullet"/>
      <w:lvlText w:val="•"/>
      <w:lvlJc w:val="left"/>
      <w:pPr>
        <w:tabs>
          <w:tab w:val="num" w:pos="3600"/>
        </w:tabs>
        <w:ind w:left="3600" w:hanging="360"/>
      </w:pPr>
      <w:rPr>
        <w:rFonts w:ascii="Arial" w:hAnsi="Arial" w:hint="default"/>
      </w:rPr>
    </w:lvl>
    <w:lvl w:ilvl="5" w:tplc="E9ECBBAE" w:tentative="1">
      <w:start w:val="1"/>
      <w:numFmt w:val="bullet"/>
      <w:lvlText w:val="•"/>
      <w:lvlJc w:val="left"/>
      <w:pPr>
        <w:tabs>
          <w:tab w:val="num" w:pos="4320"/>
        </w:tabs>
        <w:ind w:left="4320" w:hanging="360"/>
      </w:pPr>
      <w:rPr>
        <w:rFonts w:ascii="Arial" w:hAnsi="Arial" w:hint="default"/>
      </w:rPr>
    </w:lvl>
    <w:lvl w:ilvl="6" w:tplc="AA18ED96" w:tentative="1">
      <w:start w:val="1"/>
      <w:numFmt w:val="bullet"/>
      <w:lvlText w:val="•"/>
      <w:lvlJc w:val="left"/>
      <w:pPr>
        <w:tabs>
          <w:tab w:val="num" w:pos="5040"/>
        </w:tabs>
        <w:ind w:left="5040" w:hanging="360"/>
      </w:pPr>
      <w:rPr>
        <w:rFonts w:ascii="Arial" w:hAnsi="Arial" w:hint="default"/>
      </w:rPr>
    </w:lvl>
    <w:lvl w:ilvl="7" w:tplc="204C788A" w:tentative="1">
      <w:start w:val="1"/>
      <w:numFmt w:val="bullet"/>
      <w:lvlText w:val="•"/>
      <w:lvlJc w:val="left"/>
      <w:pPr>
        <w:tabs>
          <w:tab w:val="num" w:pos="5760"/>
        </w:tabs>
        <w:ind w:left="5760" w:hanging="360"/>
      </w:pPr>
      <w:rPr>
        <w:rFonts w:ascii="Arial" w:hAnsi="Arial" w:hint="default"/>
      </w:rPr>
    </w:lvl>
    <w:lvl w:ilvl="8" w:tplc="BDBA066A" w:tentative="1">
      <w:start w:val="1"/>
      <w:numFmt w:val="bullet"/>
      <w:lvlText w:val="•"/>
      <w:lvlJc w:val="left"/>
      <w:pPr>
        <w:tabs>
          <w:tab w:val="num" w:pos="6480"/>
        </w:tabs>
        <w:ind w:left="6480" w:hanging="360"/>
      </w:pPr>
      <w:rPr>
        <w:rFonts w:ascii="Arial" w:hAnsi="Arial" w:hint="default"/>
      </w:rPr>
    </w:lvl>
  </w:abstractNum>
  <w:abstractNum w:abstractNumId="18">
    <w:nsid w:val="7B4A2A4F"/>
    <w:multiLevelType w:val="multilevel"/>
    <w:tmpl w:val="523E6962"/>
    <w:lvl w:ilvl="0">
      <w:start w:val="1"/>
      <w:numFmt w:val="decimal"/>
      <w:lvlText w:val="%1."/>
      <w:lvlJc w:val="left"/>
      <w:pPr>
        <w:ind w:left="760" w:hanging="360"/>
      </w:pPr>
      <w:rPr>
        <w:rFonts w:hint="default"/>
      </w:rPr>
    </w:lvl>
    <w:lvl w:ilvl="1">
      <w:start w:val="1"/>
      <w:numFmt w:val="decimal"/>
      <w:isLgl/>
      <w:lvlText w:val="%1.%2"/>
      <w:lvlJc w:val="left"/>
      <w:pPr>
        <w:ind w:left="1204" w:hanging="804"/>
      </w:pPr>
      <w:rPr>
        <w:rFonts w:hint="default"/>
      </w:rPr>
    </w:lvl>
    <w:lvl w:ilvl="2">
      <w:start w:val="1"/>
      <w:numFmt w:val="decimal"/>
      <w:isLgl/>
      <w:lvlText w:val="%1.%2.%3"/>
      <w:lvlJc w:val="left"/>
      <w:pPr>
        <w:ind w:left="1204" w:hanging="804"/>
      </w:pPr>
      <w:rPr>
        <w:rFonts w:hint="default"/>
      </w:rPr>
    </w:lvl>
    <w:lvl w:ilvl="3">
      <w:start w:val="1"/>
      <w:numFmt w:val="decimal"/>
      <w:isLgl/>
      <w:lvlText w:val="%1.%2.%3.%4"/>
      <w:lvlJc w:val="left"/>
      <w:pPr>
        <w:ind w:left="1204" w:hanging="804"/>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9"/>
  </w:num>
  <w:num w:numId="4">
    <w:abstractNumId w:val="4"/>
  </w:num>
  <w:num w:numId="5">
    <w:abstractNumId w:val="16"/>
  </w:num>
  <w:num w:numId="6">
    <w:abstractNumId w:val="10"/>
  </w:num>
  <w:num w:numId="7">
    <w:abstractNumId w:val="7"/>
  </w:num>
  <w:num w:numId="8">
    <w:abstractNumId w:val="13"/>
  </w:num>
  <w:num w:numId="9">
    <w:abstractNumId w:val="9"/>
  </w:num>
  <w:num w:numId="10">
    <w:abstractNumId w:val="18"/>
  </w:num>
  <w:num w:numId="11">
    <w:abstractNumId w:val="14"/>
  </w:num>
  <w:num w:numId="12">
    <w:abstractNumId w:val="6"/>
  </w:num>
  <w:num w:numId="13">
    <w:abstractNumId w:val="6"/>
  </w:num>
  <w:num w:numId="14">
    <w:abstractNumId w:val="6"/>
  </w:num>
  <w:num w:numId="15">
    <w:abstractNumId w:val="3"/>
  </w:num>
  <w:num w:numId="16">
    <w:abstractNumId w:val="1"/>
  </w:num>
  <w:num w:numId="17">
    <w:abstractNumId w:val="15"/>
  </w:num>
  <w:num w:numId="18">
    <w:abstractNumId w:val="17"/>
  </w:num>
  <w:num w:numId="19">
    <w:abstractNumId w:val="2"/>
  </w:num>
  <w:num w:numId="20">
    <w:abstractNumId w:val="5"/>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6"/>
  </w:num>
  <w:num w:numId="23">
    <w:abstractNumId w:val="11"/>
  </w:num>
  <w:num w:numId="2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CA"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39F5"/>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15"/>
    <w:rsid w:val="000548BE"/>
    <w:rsid w:val="00054BCD"/>
    <w:rsid w:val="00054BF3"/>
    <w:rsid w:val="00054DC5"/>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6A3"/>
    <w:rsid w:val="00085E04"/>
    <w:rsid w:val="000867BC"/>
    <w:rsid w:val="00086800"/>
    <w:rsid w:val="00086AFF"/>
    <w:rsid w:val="00087087"/>
    <w:rsid w:val="000876A9"/>
    <w:rsid w:val="000902DC"/>
    <w:rsid w:val="00090441"/>
    <w:rsid w:val="00090659"/>
    <w:rsid w:val="000911AE"/>
    <w:rsid w:val="000915D9"/>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975"/>
    <w:rsid w:val="000B6A0C"/>
    <w:rsid w:val="000B6E2C"/>
    <w:rsid w:val="000B72C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1E95"/>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6DF1"/>
    <w:rsid w:val="0013708B"/>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408"/>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989"/>
    <w:rsid w:val="00162B36"/>
    <w:rsid w:val="00163124"/>
    <w:rsid w:val="001631C5"/>
    <w:rsid w:val="00163B1F"/>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77F58"/>
    <w:rsid w:val="001804C9"/>
    <w:rsid w:val="0018074E"/>
    <w:rsid w:val="00180A6B"/>
    <w:rsid w:val="00181FB1"/>
    <w:rsid w:val="00182346"/>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0A06"/>
    <w:rsid w:val="001A176C"/>
    <w:rsid w:val="001A25B4"/>
    <w:rsid w:val="001A25DF"/>
    <w:rsid w:val="001A2700"/>
    <w:rsid w:val="001A2C89"/>
    <w:rsid w:val="001A38B6"/>
    <w:rsid w:val="001A4783"/>
    <w:rsid w:val="001A48F5"/>
    <w:rsid w:val="001A4B28"/>
    <w:rsid w:val="001A578A"/>
    <w:rsid w:val="001A663E"/>
    <w:rsid w:val="001A6BF1"/>
    <w:rsid w:val="001A71BC"/>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7801"/>
    <w:rsid w:val="00207D16"/>
    <w:rsid w:val="00210D98"/>
    <w:rsid w:val="002120A9"/>
    <w:rsid w:val="00213576"/>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37773"/>
    <w:rsid w:val="002401F5"/>
    <w:rsid w:val="00240E54"/>
    <w:rsid w:val="0024107F"/>
    <w:rsid w:val="002414DB"/>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607E"/>
    <w:rsid w:val="002571AC"/>
    <w:rsid w:val="00257BF4"/>
    <w:rsid w:val="00257C02"/>
    <w:rsid w:val="00257E0D"/>
    <w:rsid w:val="00260003"/>
    <w:rsid w:val="00260281"/>
    <w:rsid w:val="00260756"/>
    <w:rsid w:val="00260DDB"/>
    <w:rsid w:val="00260EF1"/>
    <w:rsid w:val="00261C98"/>
    <w:rsid w:val="0026292E"/>
    <w:rsid w:val="00264305"/>
    <w:rsid w:val="00264480"/>
    <w:rsid w:val="002647BF"/>
    <w:rsid w:val="00265056"/>
    <w:rsid w:val="00265344"/>
    <w:rsid w:val="00265781"/>
    <w:rsid w:val="00265DE3"/>
    <w:rsid w:val="0026611A"/>
    <w:rsid w:val="002676A9"/>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A00"/>
    <w:rsid w:val="00281D20"/>
    <w:rsid w:val="00281DDC"/>
    <w:rsid w:val="00282E89"/>
    <w:rsid w:val="00284BAE"/>
    <w:rsid w:val="00285915"/>
    <w:rsid w:val="0028667F"/>
    <w:rsid w:val="002868CD"/>
    <w:rsid w:val="00286DBF"/>
    <w:rsid w:val="00287323"/>
    <w:rsid w:val="00287E43"/>
    <w:rsid w:val="00290430"/>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3BE"/>
    <w:rsid w:val="002A6FD3"/>
    <w:rsid w:val="002A702E"/>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A56"/>
    <w:rsid w:val="002C5BAD"/>
    <w:rsid w:val="002C5DF4"/>
    <w:rsid w:val="002C5EFE"/>
    <w:rsid w:val="002C61C7"/>
    <w:rsid w:val="002C6540"/>
    <w:rsid w:val="002C6AE1"/>
    <w:rsid w:val="002C72F5"/>
    <w:rsid w:val="002C75EF"/>
    <w:rsid w:val="002C7C04"/>
    <w:rsid w:val="002C7D4A"/>
    <w:rsid w:val="002D130F"/>
    <w:rsid w:val="002D1A6F"/>
    <w:rsid w:val="002D1A7D"/>
    <w:rsid w:val="002D1CBE"/>
    <w:rsid w:val="002D2D6D"/>
    <w:rsid w:val="002D32B9"/>
    <w:rsid w:val="002D37EA"/>
    <w:rsid w:val="002D3C2D"/>
    <w:rsid w:val="002D3D59"/>
    <w:rsid w:val="002D4362"/>
    <w:rsid w:val="002D438A"/>
    <w:rsid w:val="002D5738"/>
    <w:rsid w:val="002D57AD"/>
    <w:rsid w:val="002D5E53"/>
    <w:rsid w:val="002D5F87"/>
    <w:rsid w:val="002D749C"/>
    <w:rsid w:val="002D7CAE"/>
    <w:rsid w:val="002E0319"/>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52C"/>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5EB"/>
    <w:rsid w:val="003446C6"/>
    <w:rsid w:val="00344EFE"/>
    <w:rsid w:val="00346D38"/>
    <w:rsid w:val="003471F4"/>
    <w:rsid w:val="00347250"/>
    <w:rsid w:val="0034762F"/>
    <w:rsid w:val="00347B75"/>
    <w:rsid w:val="00350762"/>
    <w:rsid w:val="003507C4"/>
    <w:rsid w:val="00350B7C"/>
    <w:rsid w:val="00350BAF"/>
    <w:rsid w:val="003510DE"/>
    <w:rsid w:val="00351761"/>
    <w:rsid w:val="0035218C"/>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6DFF"/>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5"/>
    <w:rsid w:val="003A2C29"/>
    <w:rsid w:val="003A2EC3"/>
    <w:rsid w:val="003A317E"/>
    <w:rsid w:val="003A3609"/>
    <w:rsid w:val="003A3EC7"/>
    <w:rsid w:val="003A45B0"/>
    <w:rsid w:val="003A4A06"/>
    <w:rsid w:val="003A5F0D"/>
    <w:rsid w:val="003A7C96"/>
    <w:rsid w:val="003B022F"/>
    <w:rsid w:val="003B0B5B"/>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B4E"/>
    <w:rsid w:val="003D4CF3"/>
    <w:rsid w:val="003D4F7A"/>
    <w:rsid w:val="003D5CBF"/>
    <w:rsid w:val="003D5EFE"/>
    <w:rsid w:val="003D6507"/>
    <w:rsid w:val="003D66EA"/>
    <w:rsid w:val="003D6A97"/>
    <w:rsid w:val="003D6ACA"/>
    <w:rsid w:val="003D6D9C"/>
    <w:rsid w:val="003D6E9F"/>
    <w:rsid w:val="003D752A"/>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0FB"/>
    <w:rsid w:val="003F33BC"/>
    <w:rsid w:val="003F4442"/>
    <w:rsid w:val="003F45E4"/>
    <w:rsid w:val="003F4932"/>
    <w:rsid w:val="003F4D7D"/>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2597"/>
    <w:rsid w:val="00472695"/>
    <w:rsid w:val="0047283C"/>
    <w:rsid w:val="00472A22"/>
    <w:rsid w:val="004731AC"/>
    <w:rsid w:val="004734B6"/>
    <w:rsid w:val="00473694"/>
    <w:rsid w:val="00473713"/>
    <w:rsid w:val="004752D3"/>
    <w:rsid w:val="00475C69"/>
    <w:rsid w:val="00475E7E"/>
    <w:rsid w:val="00477165"/>
    <w:rsid w:val="00477290"/>
    <w:rsid w:val="00477C35"/>
    <w:rsid w:val="00480988"/>
    <w:rsid w:val="00480E05"/>
    <w:rsid w:val="004810C9"/>
    <w:rsid w:val="004820CF"/>
    <w:rsid w:val="00482BBE"/>
    <w:rsid w:val="00482D9E"/>
    <w:rsid w:val="0048348A"/>
    <w:rsid w:val="00483A12"/>
    <w:rsid w:val="004843DB"/>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3CE3"/>
    <w:rsid w:val="004C43F6"/>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7C"/>
    <w:rsid w:val="004E5FDB"/>
    <w:rsid w:val="004E60B7"/>
    <w:rsid w:val="004E6B88"/>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22B"/>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092B"/>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5C03"/>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D05"/>
    <w:rsid w:val="005E0993"/>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AAE"/>
    <w:rsid w:val="006243AE"/>
    <w:rsid w:val="006244C9"/>
    <w:rsid w:val="0062495F"/>
    <w:rsid w:val="00624D3A"/>
    <w:rsid w:val="006253E2"/>
    <w:rsid w:val="006256D8"/>
    <w:rsid w:val="00625706"/>
    <w:rsid w:val="006259BA"/>
    <w:rsid w:val="00625F40"/>
    <w:rsid w:val="00627740"/>
    <w:rsid w:val="00630084"/>
    <w:rsid w:val="006304BC"/>
    <w:rsid w:val="00630DCE"/>
    <w:rsid w:val="0063120A"/>
    <w:rsid w:val="00631473"/>
    <w:rsid w:val="00631585"/>
    <w:rsid w:val="00632E7F"/>
    <w:rsid w:val="00633C5C"/>
    <w:rsid w:val="006349D5"/>
    <w:rsid w:val="006363B1"/>
    <w:rsid w:val="0063644D"/>
    <w:rsid w:val="00636C18"/>
    <w:rsid w:val="00636DCE"/>
    <w:rsid w:val="00636E9B"/>
    <w:rsid w:val="00637F7A"/>
    <w:rsid w:val="006416A7"/>
    <w:rsid w:val="00641D76"/>
    <w:rsid w:val="00642724"/>
    <w:rsid w:val="00643628"/>
    <w:rsid w:val="00646834"/>
    <w:rsid w:val="00646B20"/>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DD4"/>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225"/>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2EA"/>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681"/>
    <w:rsid w:val="006E4ED4"/>
    <w:rsid w:val="006E53F8"/>
    <w:rsid w:val="006E55F9"/>
    <w:rsid w:val="006E5E19"/>
    <w:rsid w:val="006E5E7F"/>
    <w:rsid w:val="006E61C3"/>
    <w:rsid w:val="006E6306"/>
    <w:rsid w:val="006E6AA9"/>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383A"/>
    <w:rsid w:val="00713A68"/>
    <w:rsid w:val="00713DE4"/>
    <w:rsid w:val="007143BA"/>
    <w:rsid w:val="00714A5B"/>
    <w:rsid w:val="00715048"/>
    <w:rsid w:val="00715156"/>
    <w:rsid w:val="00715978"/>
    <w:rsid w:val="00715F57"/>
    <w:rsid w:val="0071622E"/>
    <w:rsid w:val="00716462"/>
    <w:rsid w:val="00716A35"/>
    <w:rsid w:val="007170DC"/>
    <w:rsid w:val="00717E03"/>
    <w:rsid w:val="00717E8E"/>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94D"/>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664"/>
    <w:rsid w:val="007A371B"/>
    <w:rsid w:val="007A38B8"/>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C7D01"/>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4E95"/>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53C2"/>
    <w:rsid w:val="008257CC"/>
    <w:rsid w:val="00825EA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602"/>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966"/>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3A69"/>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1D84"/>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0AA"/>
    <w:rsid w:val="00911891"/>
    <w:rsid w:val="009124F5"/>
    <w:rsid w:val="0091291A"/>
    <w:rsid w:val="0091322C"/>
    <w:rsid w:val="00913824"/>
    <w:rsid w:val="00914044"/>
    <w:rsid w:val="009140F8"/>
    <w:rsid w:val="00914109"/>
    <w:rsid w:val="0091489B"/>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2D5"/>
    <w:rsid w:val="00955837"/>
    <w:rsid w:val="00955C0A"/>
    <w:rsid w:val="00955C4F"/>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068"/>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4DB"/>
    <w:rsid w:val="009C5B89"/>
    <w:rsid w:val="009C6AFD"/>
    <w:rsid w:val="009C6B2F"/>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3B1"/>
    <w:rsid w:val="009E5FAA"/>
    <w:rsid w:val="009E64DB"/>
    <w:rsid w:val="009E6794"/>
    <w:rsid w:val="009E67AC"/>
    <w:rsid w:val="009E683F"/>
    <w:rsid w:val="009E711F"/>
    <w:rsid w:val="009E75C9"/>
    <w:rsid w:val="009E7C1F"/>
    <w:rsid w:val="009E7E46"/>
    <w:rsid w:val="009E7FC1"/>
    <w:rsid w:val="009F0AAC"/>
    <w:rsid w:val="009F0B4D"/>
    <w:rsid w:val="009F0D1C"/>
    <w:rsid w:val="009F150E"/>
    <w:rsid w:val="009F249C"/>
    <w:rsid w:val="009F288F"/>
    <w:rsid w:val="009F2E0F"/>
    <w:rsid w:val="009F3FB5"/>
    <w:rsid w:val="009F436F"/>
    <w:rsid w:val="009F6726"/>
    <w:rsid w:val="009F6962"/>
    <w:rsid w:val="009F7464"/>
    <w:rsid w:val="009F7793"/>
    <w:rsid w:val="009F7E4D"/>
    <w:rsid w:val="00A0027C"/>
    <w:rsid w:val="00A005B0"/>
    <w:rsid w:val="00A00B8D"/>
    <w:rsid w:val="00A0184A"/>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4C67"/>
    <w:rsid w:val="00A34D62"/>
    <w:rsid w:val="00A3611D"/>
    <w:rsid w:val="00A36339"/>
    <w:rsid w:val="00A36D70"/>
    <w:rsid w:val="00A37451"/>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4E8"/>
    <w:rsid w:val="00A71BDB"/>
    <w:rsid w:val="00A72759"/>
    <w:rsid w:val="00A743E9"/>
    <w:rsid w:val="00A75E88"/>
    <w:rsid w:val="00A77273"/>
    <w:rsid w:val="00A77560"/>
    <w:rsid w:val="00A775F6"/>
    <w:rsid w:val="00A77BC2"/>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BFE"/>
    <w:rsid w:val="00B25D6C"/>
    <w:rsid w:val="00B25FDE"/>
    <w:rsid w:val="00B26AD2"/>
    <w:rsid w:val="00B26AF0"/>
    <w:rsid w:val="00B26CA2"/>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932"/>
    <w:rsid w:val="00B37D97"/>
    <w:rsid w:val="00B37EE2"/>
    <w:rsid w:val="00B4043C"/>
    <w:rsid w:val="00B404D4"/>
    <w:rsid w:val="00B40A32"/>
    <w:rsid w:val="00B418E8"/>
    <w:rsid w:val="00B41E14"/>
    <w:rsid w:val="00B41F86"/>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5FC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893"/>
    <w:rsid w:val="00BD2B2D"/>
    <w:rsid w:val="00BD2F3B"/>
    <w:rsid w:val="00BD3372"/>
    <w:rsid w:val="00BD4118"/>
    <w:rsid w:val="00BD44C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363B"/>
    <w:rsid w:val="00BE41E5"/>
    <w:rsid w:val="00BE4B20"/>
    <w:rsid w:val="00BE57B7"/>
    <w:rsid w:val="00BE5F72"/>
    <w:rsid w:val="00BE5FC4"/>
    <w:rsid w:val="00BE6388"/>
    <w:rsid w:val="00BE68CD"/>
    <w:rsid w:val="00BE6ED3"/>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3F4"/>
    <w:rsid w:val="00BF6731"/>
    <w:rsid w:val="00BF676A"/>
    <w:rsid w:val="00BF6E1E"/>
    <w:rsid w:val="00BF73F2"/>
    <w:rsid w:val="00BF7CE7"/>
    <w:rsid w:val="00C00442"/>
    <w:rsid w:val="00C009A0"/>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897"/>
    <w:rsid w:val="00C10AD9"/>
    <w:rsid w:val="00C10B37"/>
    <w:rsid w:val="00C11102"/>
    <w:rsid w:val="00C1189E"/>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14F3"/>
    <w:rsid w:val="00C32872"/>
    <w:rsid w:val="00C3400F"/>
    <w:rsid w:val="00C340D1"/>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4C08"/>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572D"/>
    <w:rsid w:val="00CD6423"/>
    <w:rsid w:val="00CD6E05"/>
    <w:rsid w:val="00CD7300"/>
    <w:rsid w:val="00CD766E"/>
    <w:rsid w:val="00CD7C22"/>
    <w:rsid w:val="00CE0D55"/>
    <w:rsid w:val="00CE1318"/>
    <w:rsid w:val="00CE2A44"/>
    <w:rsid w:val="00CE422D"/>
    <w:rsid w:val="00CE5A78"/>
    <w:rsid w:val="00CE6166"/>
    <w:rsid w:val="00CE668C"/>
    <w:rsid w:val="00CE6B32"/>
    <w:rsid w:val="00CE78AE"/>
    <w:rsid w:val="00CE7C47"/>
    <w:rsid w:val="00CE7CAD"/>
    <w:rsid w:val="00CF032A"/>
    <w:rsid w:val="00CF04C1"/>
    <w:rsid w:val="00CF054A"/>
    <w:rsid w:val="00CF0BDD"/>
    <w:rsid w:val="00CF0F32"/>
    <w:rsid w:val="00CF0FC1"/>
    <w:rsid w:val="00CF19DA"/>
    <w:rsid w:val="00CF1CC0"/>
    <w:rsid w:val="00CF2238"/>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58B"/>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194"/>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414FB"/>
    <w:rsid w:val="00D42412"/>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1DD9"/>
    <w:rsid w:val="00D9294C"/>
    <w:rsid w:val="00D92B70"/>
    <w:rsid w:val="00D93094"/>
    <w:rsid w:val="00D93EE9"/>
    <w:rsid w:val="00D940F2"/>
    <w:rsid w:val="00D94252"/>
    <w:rsid w:val="00D9444F"/>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BFE"/>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94A"/>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7EC"/>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3C4"/>
    <w:rsid w:val="00E45B51"/>
    <w:rsid w:val="00E4623C"/>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1AA5"/>
    <w:rsid w:val="00E61CC0"/>
    <w:rsid w:val="00E62DC6"/>
    <w:rsid w:val="00E63C2E"/>
    <w:rsid w:val="00E640F6"/>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0B0"/>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3AC9"/>
    <w:rsid w:val="00E9532D"/>
    <w:rsid w:val="00E953E2"/>
    <w:rsid w:val="00E95A72"/>
    <w:rsid w:val="00E96A3A"/>
    <w:rsid w:val="00E970D2"/>
    <w:rsid w:val="00E97648"/>
    <w:rsid w:val="00E9789B"/>
    <w:rsid w:val="00E97970"/>
    <w:rsid w:val="00E97D07"/>
    <w:rsid w:val="00EA2203"/>
    <w:rsid w:val="00EA26FC"/>
    <w:rsid w:val="00EA3B5A"/>
    <w:rsid w:val="00EA410E"/>
    <w:rsid w:val="00EA4D97"/>
    <w:rsid w:val="00EA53C2"/>
    <w:rsid w:val="00EA5695"/>
    <w:rsid w:val="00EA6F9C"/>
    <w:rsid w:val="00EA7FCF"/>
    <w:rsid w:val="00EB0190"/>
    <w:rsid w:val="00EB03EB"/>
    <w:rsid w:val="00EB0BC4"/>
    <w:rsid w:val="00EB0CA3"/>
    <w:rsid w:val="00EB104F"/>
    <w:rsid w:val="00EB1B27"/>
    <w:rsid w:val="00EB2271"/>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50"/>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26B"/>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397"/>
    <w:rsid w:val="00F65800"/>
    <w:rsid w:val="00F6583C"/>
    <w:rsid w:val="00F6589A"/>
    <w:rsid w:val="00F65AB2"/>
    <w:rsid w:val="00F6766A"/>
    <w:rsid w:val="00F6783E"/>
    <w:rsid w:val="00F67B15"/>
    <w:rsid w:val="00F70D0D"/>
    <w:rsid w:val="00F70DBE"/>
    <w:rsid w:val="00F7144F"/>
    <w:rsid w:val="00F71888"/>
    <w:rsid w:val="00F71BB8"/>
    <w:rsid w:val="00F72E43"/>
    <w:rsid w:val="00F732EC"/>
    <w:rsid w:val="00F73587"/>
    <w:rsid w:val="00F73D08"/>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4F"/>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25"/>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FC2B9660-B498-417F-B4F2-6B1E5BB72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link w:val="PLChar"/>
    <w:qFormat/>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 w:type="character" w:customStyle="1" w:styleId="TACCar">
    <w:name w:val="TAC Car"/>
    <w:qFormat/>
    <w:rsid w:val="004843DB"/>
    <w:rPr>
      <w:rFonts w:ascii="Arial" w:eastAsia="Times New Roman" w:hAnsi="Arial"/>
      <w:sz w:val="18"/>
    </w:rPr>
  </w:style>
  <w:style w:type="character" w:customStyle="1" w:styleId="PLChar">
    <w:name w:val="PL Char"/>
    <w:link w:val="PL"/>
    <w:qFormat/>
    <w:rsid w:val="00846602"/>
    <w:rPr>
      <w:rFonts w:ascii="Courier New" w:eastAsia="바탕" w:hAnsi="Courier New"/>
      <w:noProof/>
      <w:sz w:val="16"/>
      <w:lang w:val="en-GB" w:eastAsia="ja-JP"/>
    </w:rPr>
  </w:style>
  <w:style w:type="character" w:customStyle="1" w:styleId="Char3">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C009A0"/>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37125068">
      <w:bodyDiv w:val="1"/>
      <w:marLeft w:val="0"/>
      <w:marRight w:val="0"/>
      <w:marTop w:val="0"/>
      <w:marBottom w:val="0"/>
      <w:divBdr>
        <w:top w:val="none" w:sz="0" w:space="0" w:color="auto"/>
        <w:left w:val="none" w:sz="0" w:space="0" w:color="auto"/>
        <w:bottom w:val="none" w:sz="0" w:space="0" w:color="auto"/>
        <w:right w:val="none" w:sz="0" w:space="0" w:color="auto"/>
      </w:divBdr>
      <w:divsChild>
        <w:div w:id="1316108502">
          <w:marLeft w:val="1800"/>
          <w:marRight w:val="0"/>
          <w:marTop w:val="100"/>
          <w:marBottom w:val="12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0096261">
      <w:bodyDiv w:val="1"/>
      <w:marLeft w:val="0"/>
      <w:marRight w:val="0"/>
      <w:marTop w:val="0"/>
      <w:marBottom w:val="0"/>
      <w:divBdr>
        <w:top w:val="none" w:sz="0" w:space="0" w:color="auto"/>
        <w:left w:val="none" w:sz="0" w:space="0" w:color="auto"/>
        <w:bottom w:val="none" w:sz="0" w:space="0" w:color="auto"/>
        <w:right w:val="none" w:sz="0" w:space="0" w:color="auto"/>
      </w:divBdr>
      <w:divsChild>
        <w:div w:id="428353986">
          <w:marLeft w:val="1987"/>
          <w:marRight w:val="0"/>
          <w:marTop w:val="100"/>
          <w:marBottom w:val="120"/>
          <w:divBdr>
            <w:top w:val="none" w:sz="0" w:space="0" w:color="auto"/>
            <w:left w:val="none" w:sz="0" w:space="0" w:color="auto"/>
            <w:bottom w:val="none" w:sz="0" w:space="0" w:color="auto"/>
            <w:right w:val="none" w:sz="0" w:space="0" w:color="auto"/>
          </w:divBdr>
        </w:div>
        <w:div w:id="939214337">
          <w:marLeft w:val="1080"/>
          <w:marRight w:val="0"/>
          <w:marTop w:val="100"/>
          <w:marBottom w:val="120"/>
          <w:divBdr>
            <w:top w:val="none" w:sz="0" w:space="0" w:color="auto"/>
            <w:left w:val="none" w:sz="0" w:space="0" w:color="auto"/>
            <w:bottom w:val="none" w:sz="0" w:space="0" w:color="auto"/>
            <w:right w:val="none" w:sz="0" w:space="0" w:color="auto"/>
          </w:divBdr>
        </w:div>
        <w:div w:id="1436709045">
          <w:marLeft w:val="1987"/>
          <w:marRight w:val="0"/>
          <w:marTop w:val="100"/>
          <w:marBottom w:val="120"/>
          <w:divBdr>
            <w:top w:val="none" w:sz="0" w:space="0" w:color="auto"/>
            <w:left w:val="none" w:sz="0" w:space="0" w:color="auto"/>
            <w:bottom w:val="none" w:sz="0" w:space="0" w:color="auto"/>
            <w:right w:val="none" w:sz="0" w:space="0" w:color="auto"/>
          </w:divBdr>
        </w:div>
        <w:div w:id="1683824789">
          <w:marLeft w:val="1987"/>
          <w:marRight w:val="0"/>
          <w:marTop w:val="100"/>
          <w:marBottom w:val="12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71610151">
      <w:bodyDiv w:val="1"/>
      <w:marLeft w:val="0"/>
      <w:marRight w:val="0"/>
      <w:marTop w:val="0"/>
      <w:marBottom w:val="0"/>
      <w:divBdr>
        <w:top w:val="none" w:sz="0" w:space="0" w:color="auto"/>
        <w:left w:val="none" w:sz="0" w:space="0" w:color="auto"/>
        <w:bottom w:val="none" w:sz="0" w:space="0" w:color="auto"/>
        <w:right w:val="none" w:sz="0" w:space="0" w:color="auto"/>
      </w:divBdr>
      <w:divsChild>
        <w:div w:id="230964906">
          <w:marLeft w:val="547"/>
          <w:marRight w:val="0"/>
          <w:marTop w:val="115"/>
          <w:marBottom w:val="0"/>
          <w:divBdr>
            <w:top w:val="none" w:sz="0" w:space="0" w:color="auto"/>
            <w:left w:val="none" w:sz="0" w:space="0" w:color="auto"/>
            <w:bottom w:val="none" w:sz="0" w:space="0" w:color="auto"/>
            <w:right w:val="none" w:sz="0" w:space="0" w:color="auto"/>
          </w:divBdr>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38473852">
      <w:bodyDiv w:val="1"/>
      <w:marLeft w:val="0"/>
      <w:marRight w:val="0"/>
      <w:marTop w:val="0"/>
      <w:marBottom w:val="0"/>
      <w:divBdr>
        <w:top w:val="none" w:sz="0" w:space="0" w:color="auto"/>
        <w:left w:val="none" w:sz="0" w:space="0" w:color="auto"/>
        <w:bottom w:val="none" w:sz="0" w:space="0" w:color="auto"/>
        <w:right w:val="none" w:sz="0" w:space="0" w:color="auto"/>
      </w:divBdr>
      <w:divsChild>
        <w:div w:id="344555055">
          <w:marLeft w:val="1166"/>
          <w:marRight w:val="0"/>
          <w:marTop w:val="96"/>
          <w:marBottom w:val="0"/>
          <w:divBdr>
            <w:top w:val="none" w:sz="0" w:space="0" w:color="auto"/>
            <w:left w:val="none" w:sz="0" w:space="0" w:color="auto"/>
            <w:bottom w:val="none" w:sz="0" w:space="0" w:color="auto"/>
            <w:right w:val="none" w:sz="0" w:space="0" w:color="auto"/>
          </w:divBdr>
        </w:div>
        <w:div w:id="1968464493">
          <w:marLeft w:val="1166"/>
          <w:marRight w:val="0"/>
          <w:marTop w:val="96"/>
          <w:marBottom w:val="0"/>
          <w:divBdr>
            <w:top w:val="none" w:sz="0" w:space="0" w:color="auto"/>
            <w:left w:val="none" w:sz="0" w:space="0" w:color="auto"/>
            <w:bottom w:val="none" w:sz="0" w:space="0" w:color="auto"/>
            <w:right w:val="none" w:sz="0" w:space="0" w:color="auto"/>
          </w:divBdr>
        </w:div>
      </w:divsChild>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695036223">
      <w:bodyDiv w:val="1"/>
      <w:marLeft w:val="0"/>
      <w:marRight w:val="0"/>
      <w:marTop w:val="0"/>
      <w:marBottom w:val="0"/>
      <w:divBdr>
        <w:top w:val="none" w:sz="0" w:space="0" w:color="auto"/>
        <w:left w:val="none" w:sz="0" w:space="0" w:color="auto"/>
        <w:bottom w:val="none" w:sz="0" w:space="0" w:color="auto"/>
        <w:right w:val="none" w:sz="0" w:space="0" w:color="auto"/>
      </w:divBdr>
      <w:divsChild>
        <w:div w:id="319962600">
          <w:marLeft w:val="1166"/>
          <w:marRight w:val="0"/>
          <w:marTop w:val="96"/>
          <w:marBottom w:val="0"/>
          <w:divBdr>
            <w:top w:val="none" w:sz="0" w:space="0" w:color="auto"/>
            <w:left w:val="none" w:sz="0" w:space="0" w:color="auto"/>
            <w:bottom w:val="none" w:sz="0" w:space="0" w:color="auto"/>
            <w:right w:val="none" w:sz="0" w:space="0" w:color="auto"/>
          </w:divBdr>
        </w:div>
        <w:div w:id="749349131">
          <w:marLeft w:val="1166"/>
          <w:marRight w:val="0"/>
          <w:marTop w:val="96"/>
          <w:marBottom w:val="0"/>
          <w:divBdr>
            <w:top w:val="none" w:sz="0" w:space="0" w:color="auto"/>
            <w:left w:val="none" w:sz="0" w:space="0" w:color="auto"/>
            <w:bottom w:val="none" w:sz="0" w:space="0" w:color="auto"/>
            <w:right w:val="none" w:sz="0" w:space="0" w:color="auto"/>
          </w:divBdr>
        </w:div>
      </w:divsChild>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87766816">
      <w:bodyDiv w:val="1"/>
      <w:marLeft w:val="0"/>
      <w:marRight w:val="0"/>
      <w:marTop w:val="0"/>
      <w:marBottom w:val="0"/>
      <w:divBdr>
        <w:top w:val="none" w:sz="0" w:space="0" w:color="auto"/>
        <w:left w:val="none" w:sz="0" w:space="0" w:color="auto"/>
        <w:bottom w:val="none" w:sz="0" w:space="0" w:color="auto"/>
        <w:right w:val="none" w:sz="0" w:space="0" w:color="auto"/>
      </w:divBdr>
      <w:divsChild>
        <w:div w:id="1411851004">
          <w:marLeft w:val="1800"/>
          <w:marRight w:val="0"/>
          <w:marTop w:val="100"/>
          <w:marBottom w:val="12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9412070">
      <w:bodyDiv w:val="1"/>
      <w:marLeft w:val="0"/>
      <w:marRight w:val="0"/>
      <w:marTop w:val="0"/>
      <w:marBottom w:val="0"/>
      <w:divBdr>
        <w:top w:val="none" w:sz="0" w:space="0" w:color="auto"/>
        <w:left w:val="none" w:sz="0" w:space="0" w:color="auto"/>
        <w:bottom w:val="none" w:sz="0" w:space="0" w:color="auto"/>
        <w:right w:val="none" w:sz="0" w:space="0" w:color="auto"/>
      </w:divBdr>
      <w:divsChild>
        <w:div w:id="952245522">
          <w:marLeft w:val="1800"/>
          <w:marRight w:val="0"/>
          <w:marTop w:val="100"/>
          <w:marBottom w:val="120"/>
          <w:divBdr>
            <w:top w:val="none" w:sz="0" w:space="0" w:color="auto"/>
            <w:left w:val="none" w:sz="0" w:space="0" w:color="auto"/>
            <w:bottom w:val="none" w:sz="0" w:space="0" w:color="auto"/>
            <w:right w:val="none" w:sz="0" w:space="0" w:color="auto"/>
          </w:divBdr>
        </w:div>
      </w:divsChild>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70294417">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3826077">
      <w:bodyDiv w:val="1"/>
      <w:marLeft w:val="0"/>
      <w:marRight w:val="0"/>
      <w:marTop w:val="0"/>
      <w:marBottom w:val="0"/>
      <w:divBdr>
        <w:top w:val="none" w:sz="0" w:space="0" w:color="auto"/>
        <w:left w:val="none" w:sz="0" w:space="0" w:color="auto"/>
        <w:bottom w:val="none" w:sz="0" w:space="0" w:color="auto"/>
        <w:right w:val="none" w:sz="0" w:space="0" w:color="auto"/>
      </w:divBdr>
      <w:divsChild>
        <w:div w:id="235822505">
          <w:marLeft w:val="547"/>
          <w:marRight w:val="0"/>
          <w:marTop w:val="115"/>
          <w:marBottom w:val="0"/>
          <w:divBdr>
            <w:top w:val="none" w:sz="0" w:space="0" w:color="auto"/>
            <w:left w:val="none" w:sz="0" w:space="0" w:color="auto"/>
            <w:bottom w:val="none" w:sz="0" w:space="0" w:color="auto"/>
            <w:right w:val="none" w:sz="0" w:space="0" w:color="auto"/>
          </w:divBdr>
        </w:div>
      </w:divsChild>
    </w:div>
    <w:div w:id="1391268663">
      <w:bodyDiv w:val="1"/>
      <w:marLeft w:val="0"/>
      <w:marRight w:val="0"/>
      <w:marTop w:val="0"/>
      <w:marBottom w:val="0"/>
      <w:divBdr>
        <w:top w:val="none" w:sz="0" w:space="0" w:color="auto"/>
        <w:left w:val="none" w:sz="0" w:space="0" w:color="auto"/>
        <w:bottom w:val="none" w:sz="0" w:space="0" w:color="auto"/>
        <w:right w:val="none" w:sz="0" w:space="0" w:color="auto"/>
      </w:divBdr>
      <w:divsChild>
        <w:div w:id="1116368732">
          <w:marLeft w:val="1080"/>
          <w:marRight w:val="0"/>
          <w:marTop w:val="100"/>
          <w:marBottom w:val="12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493683324">
          <w:marLeft w:val="1080"/>
          <w:marRight w:val="0"/>
          <w:marTop w:val="100"/>
          <w:marBottom w:val="12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1657490440">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3231879">
      <w:bodyDiv w:val="1"/>
      <w:marLeft w:val="0"/>
      <w:marRight w:val="0"/>
      <w:marTop w:val="0"/>
      <w:marBottom w:val="0"/>
      <w:divBdr>
        <w:top w:val="none" w:sz="0" w:space="0" w:color="auto"/>
        <w:left w:val="none" w:sz="0" w:space="0" w:color="auto"/>
        <w:bottom w:val="none" w:sz="0" w:space="0" w:color="auto"/>
        <w:right w:val="none" w:sz="0" w:space="0" w:color="auto"/>
      </w:divBdr>
      <w:divsChild>
        <w:div w:id="5793567">
          <w:marLeft w:val="1080"/>
          <w:marRight w:val="0"/>
          <w:marTop w:val="100"/>
          <w:marBottom w:val="120"/>
          <w:divBdr>
            <w:top w:val="none" w:sz="0" w:space="0" w:color="auto"/>
            <w:left w:val="none" w:sz="0" w:space="0" w:color="auto"/>
            <w:bottom w:val="none" w:sz="0" w:space="0" w:color="auto"/>
            <w:right w:val="none" w:sz="0" w:space="0" w:color="auto"/>
          </w:divBdr>
        </w:div>
        <w:div w:id="379524480">
          <w:marLeft w:val="1080"/>
          <w:marRight w:val="0"/>
          <w:marTop w:val="100"/>
          <w:marBottom w:val="120"/>
          <w:divBdr>
            <w:top w:val="none" w:sz="0" w:space="0" w:color="auto"/>
            <w:left w:val="none" w:sz="0" w:space="0" w:color="auto"/>
            <w:bottom w:val="none" w:sz="0" w:space="0" w:color="auto"/>
            <w:right w:val="none" w:sz="0" w:space="0" w:color="auto"/>
          </w:divBdr>
        </w:div>
        <w:div w:id="381516554">
          <w:marLeft w:val="360"/>
          <w:marRight w:val="0"/>
          <w:marTop w:val="200"/>
          <w:marBottom w:val="180"/>
          <w:divBdr>
            <w:top w:val="none" w:sz="0" w:space="0" w:color="auto"/>
            <w:left w:val="none" w:sz="0" w:space="0" w:color="auto"/>
            <w:bottom w:val="none" w:sz="0" w:space="0" w:color="auto"/>
            <w:right w:val="none" w:sz="0" w:space="0" w:color="auto"/>
          </w:divBdr>
        </w:div>
        <w:div w:id="1204634073">
          <w:marLeft w:val="1080"/>
          <w:marRight w:val="0"/>
          <w:marTop w:val="100"/>
          <w:marBottom w:val="12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10312534">
      <w:bodyDiv w:val="1"/>
      <w:marLeft w:val="0"/>
      <w:marRight w:val="0"/>
      <w:marTop w:val="0"/>
      <w:marBottom w:val="0"/>
      <w:divBdr>
        <w:top w:val="none" w:sz="0" w:space="0" w:color="auto"/>
        <w:left w:val="none" w:sz="0" w:space="0" w:color="auto"/>
        <w:bottom w:val="none" w:sz="0" w:space="0" w:color="auto"/>
        <w:right w:val="none" w:sz="0" w:space="0" w:color="auto"/>
      </w:divBdr>
      <w:divsChild>
        <w:div w:id="1411193860">
          <w:marLeft w:val="547"/>
          <w:marRight w:val="0"/>
          <w:marTop w:val="115"/>
          <w:marBottom w:val="0"/>
          <w:divBdr>
            <w:top w:val="none" w:sz="0" w:space="0" w:color="auto"/>
            <w:left w:val="none" w:sz="0" w:space="0" w:color="auto"/>
            <w:bottom w:val="none" w:sz="0" w:space="0" w:color="auto"/>
            <w:right w:val="none" w:sz="0" w:space="0" w:color="auto"/>
          </w:divBdr>
        </w:div>
      </w:divsChild>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65435286">
      <w:bodyDiv w:val="1"/>
      <w:marLeft w:val="0"/>
      <w:marRight w:val="0"/>
      <w:marTop w:val="0"/>
      <w:marBottom w:val="0"/>
      <w:divBdr>
        <w:top w:val="none" w:sz="0" w:space="0" w:color="auto"/>
        <w:left w:val="none" w:sz="0" w:space="0" w:color="auto"/>
        <w:bottom w:val="none" w:sz="0" w:space="0" w:color="auto"/>
        <w:right w:val="none" w:sz="0" w:space="0" w:color="auto"/>
      </w:divBdr>
      <w:divsChild>
        <w:div w:id="1303653422">
          <w:marLeft w:val="547"/>
          <w:marRight w:val="0"/>
          <w:marTop w:val="115"/>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590019">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 w:id="433332505">
          <w:marLeft w:val="360"/>
          <w:marRight w:val="0"/>
          <w:marTop w:val="2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D2BC4-F1DB-4500-A4EF-974B2CE71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527</Words>
  <Characters>3010</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n14 coexistence perspective</vt:lpstr>
      <vt:lpstr>R4-115801_TP_MPR MASK in single CC</vt:lpstr>
    </vt:vector>
  </TitlesOfParts>
  <Company>LGE</Company>
  <LinksUpToDate>false</LinksUpToDate>
  <CharactersWithSpaces>3530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n14 coexistence perspective</dc:title>
  <dc:subject>MPR Mask for single CC</dc:subject>
  <dc:creator>LG Electronics</dc:creator>
  <cp:keywords/>
  <dc:description/>
  <cp:lastModifiedBy>임수환/책임연구원/미래기술센터 C&amp;M표준(연)5G무선통신표준Task(suhwan.lim@lge.com)</cp:lastModifiedBy>
  <cp:revision>2</cp:revision>
  <cp:lastPrinted>2015-01-30T00:55:00Z</cp:lastPrinted>
  <dcterms:created xsi:type="dcterms:W3CDTF">2021-08-06T07:34:00Z</dcterms:created>
  <dcterms:modified xsi:type="dcterms:W3CDTF">2021-08-06T07:34:00Z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